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3E12" w:rsidRDefault="00083E12"/>
    <w:tbl>
      <w:tblPr>
        <w:tblW w:w="9464" w:type="dxa"/>
        <w:tblLook w:val="0000" w:firstRow="0" w:lastRow="0" w:firstColumn="0" w:lastColumn="0" w:noHBand="0" w:noVBand="0"/>
      </w:tblPr>
      <w:tblGrid>
        <w:gridCol w:w="4928"/>
        <w:gridCol w:w="4536"/>
      </w:tblGrid>
      <w:tr w:rsidR="00083E12">
        <w:tc>
          <w:tcPr>
            <w:tcW w:w="4927" w:type="dxa"/>
            <w:shd w:val="clear" w:color="auto" w:fill="auto"/>
          </w:tcPr>
          <w:p w:rsidR="00083E12" w:rsidRDefault="00083E12">
            <w:pPr>
              <w:snapToGrid w:val="0"/>
              <w:spacing w:after="0" w:line="360" w:lineRule="auto"/>
              <w:rPr>
                <w:rFonts w:ascii="Times New Roman" w:hAnsi="Times New Roman" w:cs="Times New Roman"/>
                <w:sz w:val="24"/>
                <w:szCs w:val="24"/>
                <w:lang w:val="uk-UA"/>
              </w:rPr>
            </w:pPr>
          </w:p>
        </w:tc>
        <w:tc>
          <w:tcPr>
            <w:tcW w:w="4536" w:type="dxa"/>
            <w:shd w:val="clear" w:color="auto" w:fill="auto"/>
          </w:tcPr>
          <w:p w:rsidR="00083E12" w:rsidRDefault="00670D5A">
            <w:pPr>
              <w:spacing w:after="0" w:line="240" w:lineRule="auto"/>
              <w:ind w:firstLine="34"/>
            </w:pPr>
            <w:r>
              <w:rPr>
                <w:rFonts w:ascii="Times New Roman" w:hAnsi="Times New Roman" w:cs="Times New Roman"/>
                <w:b/>
                <w:bCs/>
                <w:sz w:val="24"/>
                <w:szCs w:val="24"/>
                <w:u w:val="single"/>
                <w:lang w:val="uk-UA"/>
              </w:rPr>
              <w:t xml:space="preserve">«ЗАТВЕРДЖЕНО» </w:t>
            </w:r>
          </w:p>
          <w:p w:rsidR="00083E12" w:rsidRDefault="00083E12">
            <w:pPr>
              <w:spacing w:after="0" w:line="240" w:lineRule="auto"/>
              <w:ind w:firstLine="34"/>
              <w:rPr>
                <w:rFonts w:ascii="Times New Roman" w:hAnsi="Times New Roman" w:cs="Times New Roman"/>
                <w:sz w:val="24"/>
                <w:szCs w:val="24"/>
                <w:lang w:val="uk-UA"/>
              </w:rPr>
            </w:pPr>
          </w:p>
          <w:p w:rsidR="00083E12" w:rsidRDefault="00670D5A">
            <w:pPr>
              <w:spacing w:after="0" w:line="240" w:lineRule="auto"/>
              <w:ind w:firstLine="34"/>
            </w:pPr>
            <w:r>
              <w:rPr>
                <w:rFonts w:ascii="Times New Roman" w:hAnsi="Times New Roman" w:cs="Times New Roman"/>
                <w:sz w:val="24"/>
                <w:szCs w:val="24"/>
                <w:lang w:val="uk-UA"/>
              </w:rPr>
              <w:t>Наглядовою радою</w:t>
            </w:r>
          </w:p>
          <w:p w:rsidR="00083E12" w:rsidRDefault="00670D5A">
            <w:pPr>
              <w:spacing w:after="0" w:line="240" w:lineRule="auto"/>
              <w:ind w:firstLine="34"/>
            </w:pPr>
            <w:r>
              <w:rPr>
                <w:rFonts w:ascii="Times New Roman" w:hAnsi="Times New Roman" w:cs="Times New Roman"/>
                <w:sz w:val="24"/>
                <w:szCs w:val="24"/>
                <w:lang w:val="uk-UA"/>
              </w:rPr>
              <w:t>Акціонерного товариства «Оператор газорозподільної системи «Луганськгаз»</w:t>
            </w:r>
          </w:p>
          <w:p w:rsidR="00083E12" w:rsidRDefault="00083E12">
            <w:pPr>
              <w:spacing w:after="0" w:line="240" w:lineRule="auto"/>
              <w:ind w:firstLine="34"/>
              <w:rPr>
                <w:rFonts w:ascii="Times New Roman" w:hAnsi="Times New Roman" w:cs="Times New Roman"/>
                <w:sz w:val="24"/>
                <w:szCs w:val="24"/>
                <w:lang w:val="uk-UA"/>
              </w:rPr>
            </w:pPr>
          </w:p>
          <w:p w:rsidR="00083E12" w:rsidRDefault="00670D5A">
            <w:pPr>
              <w:spacing w:after="0" w:line="240" w:lineRule="auto"/>
              <w:ind w:firstLine="34"/>
            </w:pPr>
            <w:r>
              <w:rPr>
                <w:rFonts w:ascii="Times New Roman" w:hAnsi="Times New Roman" w:cs="Times New Roman"/>
                <w:sz w:val="24"/>
                <w:szCs w:val="24"/>
                <w:lang w:val="uk-UA"/>
              </w:rPr>
              <w:t>Протокол Наглядової ради</w:t>
            </w:r>
          </w:p>
          <w:p w:rsidR="00083E12" w:rsidRDefault="00670D5A">
            <w:pPr>
              <w:spacing w:after="0" w:line="240" w:lineRule="auto"/>
              <w:ind w:firstLine="34"/>
            </w:pPr>
            <w:r>
              <w:rPr>
                <w:rFonts w:ascii="Times New Roman" w:hAnsi="Times New Roman" w:cs="Times New Roman"/>
                <w:sz w:val="24"/>
                <w:szCs w:val="24"/>
                <w:lang w:val="uk-UA"/>
              </w:rPr>
              <w:t>Акціонерного товариства «Оператор газорозподільної системи «Луганськгаз»</w:t>
            </w:r>
            <w:r>
              <w:rPr>
                <w:rFonts w:ascii="Times New Roman" w:hAnsi="Times New Roman" w:cs="Times New Roman"/>
                <w:sz w:val="24"/>
                <w:szCs w:val="24"/>
              </w:rPr>
              <w:t xml:space="preserve"> </w:t>
            </w:r>
          </w:p>
          <w:p w:rsidR="00083E12" w:rsidRDefault="00670D5A">
            <w:pPr>
              <w:spacing w:after="0" w:line="240" w:lineRule="auto"/>
              <w:ind w:firstLine="34"/>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97673C">
              <w:rPr>
                <w:rFonts w:ascii="Times New Roman" w:eastAsia="Times New Roman" w:hAnsi="Times New Roman" w:cs="Times New Roman"/>
                <w:sz w:val="24"/>
                <w:szCs w:val="24"/>
                <w:lang w:val="en-US"/>
              </w:rPr>
              <w:t>1</w:t>
            </w:r>
            <w:r w:rsidR="001C629E" w:rsidRPr="0097673C">
              <w:rPr>
                <w:rFonts w:ascii="Times New Roman" w:eastAsia="Times New Roman" w:hAnsi="Times New Roman" w:cs="Times New Roman"/>
                <w:sz w:val="24"/>
                <w:szCs w:val="24"/>
                <w:lang w:val="uk-UA"/>
              </w:rPr>
              <w:t>7</w:t>
            </w:r>
            <w:r w:rsidRPr="0097673C">
              <w:rPr>
                <w:rFonts w:ascii="Times New Roman" w:eastAsia="Times New Roman" w:hAnsi="Times New Roman" w:cs="Times New Roman"/>
                <w:sz w:val="24"/>
                <w:szCs w:val="24"/>
                <w:lang w:val="uk-UA"/>
              </w:rPr>
              <w:t>/12-202</w:t>
            </w:r>
            <w:r w:rsidRPr="0097673C">
              <w:rPr>
                <w:rFonts w:ascii="Times New Roman" w:eastAsia="Times New Roman" w:hAnsi="Times New Roman" w:cs="Times New Roman"/>
                <w:sz w:val="24"/>
                <w:szCs w:val="24"/>
                <w:lang w:val="en-US"/>
              </w:rPr>
              <w:t>1</w:t>
            </w:r>
            <w:r w:rsidRPr="0097673C">
              <w:rPr>
                <w:rFonts w:ascii="Times New Roman" w:eastAsia="Times New Roman" w:hAnsi="Times New Roman" w:cs="Times New Roman"/>
                <w:sz w:val="24"/>
                <w:szCs w:val="24"/>
                <w:lang w:val="uk-UA"/>
              </w:rPr>
              <w:t xml:space="preserve"> </w:t>
            </w:r>
            <w:r w:rsidRPr="0097673C">
              <w:rPr>
                <w:rFonts w:ascii="Times New Roman" w:hAnsi="Times New Roman" w:cs="Times New Roman"/>
                <w:sz w:val="24"/>
                <w:szCs w:val="24"/>
                <w:lang w:val="uk-UA"/>
              </w:rPr>
              <w:t xml:space="preserve">від </w:t>
            </w:r>
            <w:r w:rsidRPr="0097673C">
              <w:rPr>
                <w:rFonts w:ascii="Times New Roman" w:hAnsi="Times New Roman" w:cs="Times New Roman"/>
                <w:sz w:val="24"/>
                <w:szCs w:val="24"/>
                <w:lang w:val="en-US"/>
              </w:rPr>
              <w:t>1</w:t>
            </w:r>
            <w:r w:rsidR="001C629E" w:rsidRPr="0097673C">
              <w:rPr>
                <w:rFonts w:ascii="Times New Roman" w:hAnsi="Times New Roman" w:cs="Times New Roman"/>
                <w:sz w:val="24"/>
                <w:szCs w:val="24"/>
                <w:lang w:val="uk-UA"/>
              </w:rPr>
              <w:t>7</w:t>
            </w:r>
            <w:r w:rsidRPr="0097673C">
              <w:rPr>
                <w:rFonts w:ascii="Times New Roman" w:hAnsi="Times New Roman" w:cs="Times New Roman"/>
                <w:sz w:val="24"/>
                <w:szCs w:val="24"/>
                <w:lang w:val="uk-UA"/>
              </w:rPr>
              <w:t xml:space="preserve"> грудня 202</w:t>
            </w:r>
            <w:r w:rsidRPr="0097673C">
              <w:rPr>
                <w:rFonts w:ascii="Times New Roman" w:hAnsi="Times New Roman" w:cs="Times New Roman"/>
                <w:sz w:val="24"/>
                <w:szCs w:val="24"/>
                <w:lang w:val="en-US"/>
              </w:rPr>
              <w:t>1</w:t>
            </w:r>
            <w:r w:rsidRPr="0097673C">
              <w:rPr>
                <w:rFonts w:ascii="Times New Roman" w:hAnsi="Times New Roman" w:cs="Times New Roman"/>
                <w:sz w:val="24"/>
                <w:szCs w:val="24"/>
                <w:lang w:val="uk-UA"/>
              </w:rPr>
              <w:t xml:space="preserve"> року</w:t>
            </w:r>
            <w:bookmarkStart w:id="0" w:name="_GoBack"/>
            <w:bookmarkEnd w:id="0"/>
          </w:p>
          <w:p w:rsidR="00083E12" w:rsidRDefault="00083E12">
            <w:pPr>
              <w:spacing w:after="0" w:line="360" w:lineRule="auto"/>
              <w:ind w:left="742"/>
              <w:rPr>
                <w:rFonts w:ascii="Times New Roman" w:hAnsi="Times New Roman" w:cs="Times New Roman"/>
                <w:sz w:val="24"/>
                <w:szCs w:val="24"/>
                <w:lang w:val="uk-UA"/>
              </w:rPr>
            </w:pPr>
          </w:p>
        </w:tc>
      </w:tr>
    </w:tbl>
    <w:p w:rsidR="00083E12" w:rsidRDefault="00083E12">
      <w:pPr>
        <w:rPr>
          <w:sz w:val="24"/>
          <w:szCs w:val="24"/>
          <w:lang w:val="uk-UA"/>
        </w:rPr>
      </w:pPr>
    </w:p>
    <w:p w:rsidR="00083E12" w:rsidRDefault="00083E12">
      <w:pPr>
        <w:rPr>
          <w:sz w:val="24"/>
          <w:szCs w:val="24"/>
          <w:lang w:val="uk-UA"/>
        </w:rPr>
      </w:pPr>
    </w:p>
    <w:p w:rsidR="00083E12" w:rsidRPr="001C629E" w:rsidRDefault="00670D5A">
      <w:pPr>
        <w:jc w:val="center"/>
        <w:rPr>
          <w:lang w:val="uk-UA"/>
        </w:rPr>
      </w:pPr>
      <w:r>
        <w:rPr>
          <w:rFonts w:ascii="Times New Roman" w:hAnsi="Times New Roman" w:cs="Times New Roman"/>
          <w:b/>
          <w:bCs/>
          <w:sz w:val="24"/>
          <w:szCs w:val="24"/>
          <w:lang w:val="uk-UA"/>
        </w:rPr>
        <w:t>ПОРЯДОК</w:t>
      </w:r>
    </w:p>
    <w:p w:rsidR="00083E12" w:rsidRPr="001C629E" w:rsidRDefault="00670D5A">
      <w:pPr>
        <w:jc w:val="center"/>
        <w:rPr>
          <w:lang w:val="uk-UA"/>
        </w:rPr>
      </w:pPr>
      <w:r>
        <w:rPr>
          <w:rFonts w:ascii="Times New Roman" w:hAnsi="Times New Roman" w:cs="Times New Roman"/>
          <w:b/>
          <w:bCs/>
          <w:sz w:val="24"/>
          <w:szCs w:val="24"/>
          <w:lang w:val="uk-UA"/>
        </w:rPr>
        <w:t>ПРОВЕДЕННЯ КОНКУРСУ З ВІДБОРУ СУБ’ЄКТІВ АУДИТОРСЬКОЇ ДІЯЛЬНОСТІ ДЛЯ НАДАННЯ ПОСЛУГ ОБОВ’ЯЗКОВОГО АУДИТУ ФІНАНСОВОЇ ЗВІТНОСТІ  АТ «ЛУГАНСЬКГАЗ»</w:t>
      </w:r>
    </w:p>
    <w:p w:rsidR="00083E12" w:rsidRDefault="00670D5A">
      <w:pPr>
        <w:jc w:val="center"/>
      </w:pPr>
      <w:r>
        <w:rPr>
          <w:rFonts w:ascii="Times New Roman" w:hAnsi="Times New Roman" w:cs="Times New Roman"/>
          <w:b/>
          <w:bCs/>
          <w:sz w:val="24"/>
          <w:szCs w:val="24"/>
          <w:lang w:val="uk-UA"/>
        </w:rPr>
        <w:t>(НОВА РЕДАКЦІЯ)</w:t>
      </w: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Verdana" w:hAnsi="Verdana" w:cs="Verdana"/>
          <w:color w:val="auto"/>
          <w:lang w:val="uk-UA"/>
        </w:rPr>
      </w:pPr>
    </w:p>
    <w:p w:rsidR="00083E12" w:rsidRDefault="00083E12">
      <w:pPr>
        <w:pStyle w:val="Defaul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083E12">
      <w:pPr>
        <w:pStyle w:val="Default"/>
        <w:ind w:left="5670"/>
        <w:jc w:val="right"/>
        <w:rPr>
          <w:rFonts w:ascii="Times New Roman" w:hAnsi="Times New Roman" w:cs="Times New Roman"/>
          <w:color w:val="auto"/>
          <w:lang w:val="uk-UA"/>
        </w:rPr>
      </w:pPr>
    </w:p>
    <w:p w:rsidR="00083E12" w:rsidRDefault="00670D5A">
      <w:pPr>
        <w:jc w:val="center"/>
      </w:pPr>
      <w:r>
        <w:rPr>
          <w:rFonts w:ascii="Times New Roman" w:hAnsi="Times New Roman" w:cs="Times New Roman"/>
          <w:b/>
          <w:sz w:val="24"/>
          <w:szCs w:val="24"/>
          <w:lang w:val="uk-UA"/>
        </w:rPr>
        <w:t>м. Сєвєродонецьк – 202</w:t>
      </w:r>
      <w:r>
        <w:rPr>
          <w:rFonts w:ascii="Times New Roman" w:hAnsi="Times New Roman" w:cs="Times New Roman"/>
          <w:b/>
          <w:sz w:val="24"/>
          <w:szCs w:val="24"/>
          <w:lang w:val="en-US"/>
        </w:rPr>
        <w:t>1</w:t>
      </w:r>
      <w:r>
        <w:br w:type="page"/>
      </w:r>
    </w:p>
    <w:p w:rsidR="00083E12" w:rsidRDefault="00670D5A">
      <w:pPr>
        <w:pStyle w:val="1"/>
        <w:numPr>
          <w:ilvl w:val="0"/>
          <w:numId w:val="1"/>
        </w:numPr>
        <w:jc w:val="center"/>
      </w:pPr>
      <w:r>
        <w:rPr>
          <w:rFonts w:ascii="Times New Roman" w:hAnsi="Times New Roman"/>
          <w:color w:val="auto"/>
          <w:sz w:val="24"/>
          <w:szCs w:val="24"/>
          <w:lang w:val="uk-UA"/>
        </w:rPr>
        <w:lastRenderedPageBreak/>
        <w:t>ЗАГАЛЬНІ ПОЛОЖЕННЯ</w:t>
      </w:r>
    </w:p>
    <w:p w:rsidR="00083E12" w:rsidRDefault="00083E12">
      <w:pPr>
        <w:pStyle w:val="Default"/>
        <w:ind w:left="720"/>
        <w:jc w:val="both"/>
        <w:rPr>
          <w:rFonts w:ascii="Times New Roman" w:hAnsi="Times New Roman" w:cs="Times New Roman"/>
          <w:color w:val="auto"/>
          <w:lang w:val="uk-UA"/>
        </w:rPr>
      </w:pPr>
    </w:p>
    <w:p w:rsidR="00083E12" w:rsidRDefault="00670D5A">
      <w:pPr>
        <w:pStyle w:val="Default"/>
        <w:ind w:left="567" w:hanging="567"/>
        <w:jc w:val="both"/>
        <w:rPr>
          <w:lang w:val="uk-UA"/>
        </w:rPr>
      </w:pPr>
      <w:r>
        <w:rPr>
          <w:rFonts w:ascii="Times New Roman" w:hAnsi="Times New Roman" w:cs="Times New Roman"/>
          <w:color w:val="auto"/>
          <w:lang w:val="uk-UA"/>
        </w:rPr>
        <w:t xml:space="preserve">1.1. Порядок проведення конкурсу з відбору суб’єктів аудиторської діяльності для надання послуг з обов’язкового аудиту фінансової звітності АТ «ЛУГАНСЬКГАЗ» (далі також – Порядок) є внутрішнім нормативним документом АКЦІОНЕРНОГО ТОВАРИСТВА «ОПЕРАТОР ГАЗОРОЗПОДІЛЬНОЇ СИСТЕМИ «ЛУГАНСЬГКАЗ» (далі – Товариство), ціль якого є регламентування проведення конкурсного відбору суб’єктів аудиторської діяльності, які можуть бути обрані для надання послуг з обов’язкового аудиту фінансової звітності Товариства (далі – Конкурс), встановлення однозначних прозорих та недискримінаційних критеріїв відбору суб’єктів аудиторської діяльності, а також взаємодії структурних підрозділів Товариства між собою та із суб’єктами аудиторської діяльності з цих питань. </w:t>
      </w:r>
    </w:p>
    <w:p w:rsidR="00083E12" w:rsidRDefault="00670D5A">
      <w:pPr>
        <w:pStyle w:val="Default"/>
        <w:ind w:left="567" w:hanging="567"/>
        <w:jc w:val="both"/>
      </w:pPr>
      <w:r>
        <w:rPr>
          <w:rFonts w:ascii="Times New Roman" w:hAnsi="Times New Roman" w:cs="Times New Roman"/>
          <w:color w:val="auto"/>
          <w:lang w:val="uk-UA"/>
        </w:rPr>
        <w:t xml:space="preserve">1.2. Цей Порядок обов’язковий до виконання та застосовується у роботі членами Наглядової Ради Товариства, членами Комітету з питань аудиту Наглядової Ради АТ «ЛУГАНСЬКГАЗ» або </w:t>
      </w:r>
      <w:bookmarkStart w:id="1" w:name="__DdeLink__1902_860547653"/>
      <w:r>
        <w:rPr>
          <w:rFonts w:ascii="Times New Roman" w:hAnsi="Times New Roman" w:cs="Times New Roman"/>
          <w:color w:val="auto"/>
          <w:lang w:val="uk-UA"/>
        </w:rPr>
        <w:t>органу Товариства, на який покладено його функції</w:t>
      </w:r>
      <w:bookmarkEnd w:id="1"/>
      <w:r>
        <w:rPr>
          <w:rFonts w:ascii="Times New Roman" w:hAnsi="Times New Roman" w:cs="Times New Roman"/>
          <w:color w:val="auto"/>
          <w:lang w:val="uk-UA"/>
        </w:rPr>
        <w:t xml:space="preserve"> (далі – Комітет з питань аудиту), працівників підпорядкованих Головному бухгалтеру та іншими підрозділами Товариства. </w:t>
      </w:r>
    </w:p>
    <w:p w:rsidR="00083E12" w:rsidRDefault="00670D5A">
      <w:pPr>
        <w:pStyle w:val="1"/>
        <w:numPr>
          <w:ilvl w:val="0"/>
          <w:numId w:val="1"/>
        </w:numPr>
        <w:jc w:val="center"/>
      </w:pPr>
      <w:r>
        <w:rPr>
          <w:rFonts w:ascii="Times New Roman" w:hAnsi="Times New Roman"/>
          <w:color w:val="auto"/>
          <w:sz w:val="24"/>
          <w:szCs w:val="24"/>
          <w:lang w:val="uk-UA"/>
        </w:rPr>
        <w:t>НОРМАТИВНІ ПОСИЛАННЯ</w:t>
      </w:r>
    </w:p>
    <w:p w:rsidR="00083E12" w:rsidRDefault="00083E12">
      <w:pPr>
        <w:pStyle w:val="Default"/>
        <w:jc w:val="both"/>
        <w:rPr>
          <w:rFonts w:ascii="Times New Roman" w:hAnsi="Times New Roman" w:cs="Times New Roman"/>
          <w:b/>
          <w:bCs/>
          <w:color w:val="auto"/>
          <w:lang w:val="uk-UA"/>
        </w:rPr>
      </w:pPr>
    </w:p>
    <w:p w:rsidR="00083E12" w:rsidRDefault="00670D5A">
      <w:pPr>
        <w:pStyle w:val="Default"/>
        <w:numPr>
          <w:ilvl w:val="1"/>
          <w:numId w:val="4"/>
        </w:numPr>
        <w:ind w:left="567" w:hanging="567"/>
        <w:jc w:val="both"/>
      </w:pPr>
      <w:r>
        <w:rPr>
          <w:rFonts w:ascii="Times New Roman" w:hAnsi="Times New Roman" w:cs="Times New Roman"/>
          <w:color w:val="auto"/>
          <w:lang w:val="uk-UA"/>
        </w:rPr>
        <w:t>Цей Порядок розроблений у відповідності до:</w:t>
      </w:r>
    </w:p>
    <w:p w:rsidR="00083E12" w:rsidRDefault="00670D5A">
      <w:pPr>
        <w:pStyle w:val="Default"/>
        <w:numPr>
          <w:ilvl w:val="0"/>
          <w:numId w:val="2"/>
        </w:numPr>
        <w:ind w:left="567" w:hanging="567"/>
        <w:jc w:val="both"/>
      </w:pPr>
      <w:r>
        <w:rPr>
          <w:rFonts w:ascii="Times New Roman" w:hAnsi="Times New Roman" w:cs="Times New Roman"/>
          <w:color w:val="auto"/>
          <w:lang w:val="uk-UA"/>
        </w:rPr>
        <w:t>Закону України «Про аудит фінансової звітності та аудиторську діяльність» від 21.12.2017 №2258-VIII (далі – Закон про аудит);</w:t>
      </w:r>
    </w:p>
    <w:p w:rsidR="00083E12" w:rsidRDefault="00670D5A">
      <w:pPr>
        <w:pStyle w:val="Default"/>
        <w:numPr>
          <w:ilvl w:val="0"/>
          <w:numId w:val="2"/>
        </w:numPr>
        <w:ind w:left="567" w:hanging="567"/>
        <w:jc w:val="both"/>
      </w:pPr>
      <w:r>
        <w:rPr>
          <w:rFonts w:ascii="Times New Roman" w:hAnsi="Times New Roman" w:cs="Times New Roman"/>
          <w:color w:val="auto"/>
          <w:lang w:val="uk-UA"/>
        </w:rPr>
        <w:t xml:space="preserve">Закону України "Про публічні закупівлі" від 25.12.2015 №922-VIII (зі змінами); </w:t>
      </w:r>
    </w:p>
    <w:p w:rsidR="00083E12" w:rsidRDefault="00670D5A">
      <w:pPr>
        <w:pStyle w:val="Default"/>
        <w:numPr>
          <w:ilvl w:val="0"/>
          <w:numId w:val="2"/>
        </w:numPr>
        <w:ind w:left="567" w:hanging="567"/>
        <w:jc w:val="both"/>
      </w:pPr>
      <w:r>
        <w:rPr>
          <w:rFonts w:ascii="Times New Roman" w:hAnsi="Times New Roman" w:cs="Times New Roman"/>
          <w:color w:val="auto"/>
          <w:lang w:val="uk-UA"/>
        </w:rPr>
        <w:t>Закону України «Про акціонерні товариства» (далі – Закон про акціонерні товариства).</w:t>
      </w:r>
    </w:p>
    <w:p w:rsidR="00083E12" w:rsidRDefault="00670D5A">
      <w:pPr>
        <w:pStyle w:val="1"/>
        <w:numPr>
          <w:ilvl w:val="0"/>
          <w:numId w:val="1"/>
        </w:numPr>
        <w:jc w:val="center"/>
      </w:pPr>
      <w:r>
        <w:rPr>
          <w:rFonts w:ascii="Times New Roman" w:hAnsi="Times New Roman"/>
          <w:color w:val="auto"/>
          <w:sz w:val="24"/>
          <w:szCs w:val="24"/>
          <w:lang w:val="uk-UA"/>
        </w:rPr>
        <w:t>ТЕРМІНИ ТА СКОРОЧЕННЯ</w:t>
      </w:r>
    </w:p>
    <w:p w:rsidR="00083E12" w:rsidRDefault="00083E12">
      <w:pPr>
        <w:jc w:val="center"/>
        <w:rPr>
          <w:rFonts w:ascii="Times New Roman" w:hAnsi="Times New Roman"/>
          <w:sz w:val="24"/>
          <w:szCs w:val="24"/>
          <w:lang w:val="uk-UA"/>
        </w:rPr>
      </w:pPr>
    </w:p>
    <w:p w:rsidR="00083E12" w:rsidRDefault="00670D5A">
      <w:pPr>
        <w:pStyle w:val="Default"/>
        <w:numPr>
          <w:ilvl w:val="1"/>
          <w:numId w:val="4"/>
        </w:numPr>
        <w:ind w:left="567" w:hanging="567"/>
        <w:jc w:val="both"/>
      </w:pPr>
      <w:r>
        <w:rPr>
          <w:rFonts w:ascii="Times New Roman" w:hAnsi="Times New Roman" w:cs="Times New Roman"/>
          <w:color w:val="auto"/>
          <w:lang w:val="uk-UA"/>
        </w:rPr>
        <w:t>У цьому Порядку терміни та скорочення вживаються у наступних значеннях:</w:t>
      </w:r>
    </w:p>
    <w:p w:rsidR="00083E12" w:rsidRDefault="00670D5A">
      <w:pPr>
        <w:pStyle w:val="Default"/>
        <w:ind w:left="567" w:hanging="567"/>
        <w:jc w:val="both"/>
      </w:pPr>
      <w:r>
        <w:rPr>
          <w:rFonts w:ascii="Times New Roman" w:hAnsi="Times New Roman" w:cs="Times New Roman"/>
          <w:b/>
          <w:shd w:val="clear" w:color="auto" w:fill="FFFFFF"/>
          <w:lang w:val="uk-UA"/>
        </w:rPr>
        <w:t xml:space="preserve">Аудит фінансової звітності - </w:t>
      </w:r>
      <w:r>
        <w:rPr>
          <w:rFonts w:ascii="Times New Roman" w:hAnsi="Times New Roman" w:cs="Times New Roman"/>
          <w:shd w:val="clear" w:color="auto" w:fill="FFFFFF"/>
          <w:lang w:val="uk-UA"/>
        </w:rPr>
        <w:t xml:space="preserve">аудиторська послуга з перевірки даних бухгалтерського обліку і показників фінансової звітності та/або консолідованої фінансової звітності Товариства,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rsidR="00083E12" w:rsidRDefault="00670D5A">
      <w:pPr>
        <w:pStyle w:val="Default"/>
        <w:ind w:left="567" w:hanging="567"/>
        <w:jc w:val="both"/>
      </w:pPr>
      <w:r>
        <w:rPr>
          <w:rFonts w:ascii="Times New Roman" w:hAnsi="Times New Roman" w:cs="Times New Roman"/>
          <w:b/>
          <w:shd w:val="clear" w:color="auto" w:fill="FFFFFF"/>
          <w:lang w:val="uk-UA"/>
        </w:rPr>
        <w:t>Аудиторські послуги</w:t>
      </w:r>
      <w:r>
        <w:rPr>
          <w:rFonts w:ascii="Times New Roman" w:hAnsi="Times New Roman" w:cs="Times New Roman"/>
          <w:shd w:val="clear" w:color="auto" w:fill="FFFFFF"/>
          <w:lang w:val="uk-UA"/>
        </w:rPr>
        <w:t xml:space="preserve"> -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w:t>
      </w:r>
      <w:r>
        <w:rPr>
          <w:rFonts w:ascii="Times New Roman" w:hAnsi="Times New Roman" w:cs="Times New Roman"/>
          <w:color w:val="auto"/>
          <w:lang w:val="uk-UA"/>
        </w:rPr>
        <w:t xml:space="preserve">. </w:t>
      </w:r>
    </w:p>
    <w:p w:rsidR="00083E12" w:rsidRDefault="00670D5A">
      <w:pPr>
        <w:pStyle w:val="Default"/>
        <w:ind w:left="567" w:hanging="567"/>
        <w:jc w:val="both"/>
      </w:pPr>
      <w:r>
        <w:rPr>
          <w:rFonts w:ascii="Times New Roman" w:hAnsi="Times New Roman" w:cs="Times New Roman"/>
          <w:b/>
          <w:bCs/>
          <w:color w:val="auto"/>
          <w:lang w:val="uk-UA"/>
        </w:rPr>
        <w:t xml:space="preserve">Аудиторська фірма </w:t>
      </w:r>
      <w:r>
        <w:rPr>
          <w:rFonts w:ascii="Times New Roman" w:hAnsi="Times New Roman" w:cs="Times New Roman"/>
          <w:color w:val="auto"/>
          <w:lang w:val="uk-UA"/>
        </w:rPr>
        <w:t xml:space="preserve">- юридична особа, яка провадить виключно аудиторську діяльність та/або надає неаудиторські послуги на підставах та у порядку, що передбачені Законом про аудит та міжнародними стандартами аудиту. </w:t>
      </w:r>
    </w:p>
    <w:p w:rsidR="00083E12" w:rsidRDefault="00670D5A">
      <w:pPr>
        <w:pStyle w:val="Default"/>
        <w:ind w:left="567" w:hanging="567"/>
        <w:jc w:val="both"/>
      </w:pPr>
      <w:r>
        <w:rPr>
          <w:rFonts w:ascii="Times New Roman" w:hAnsi="Times New Roman" w:cs="Times New Roman"/>
          <w:b/>
          <w:bCs/>
          <w:color w:val="auto"/>
          <w:lang w:val="uk-UA"/>
        </w:rPr>
        <w:t xml:space="preserve">Завдання з обов'язкового аудиту фінансової звітності </w:t>
      </w:r>
      <w:r>
        <w:rPr>
          <w:rFonts w:ascii="Times New Roman" w:hAnsi="Times New Roman" w:cs="Times New Roman"/>
          <w:color w:val="auto"/>
          <w:lang w:val="uk-UA"/>
        </w:rPr>
        <w:t xml:space="preserve">- завдання з надання обґрунтованої впевненості, що приймається і виконується суб'єктом аудиторської 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rsidR="00083E12" w:rsidRDefault="00670D5A">
      <w:pPr>
        <w:pStyle w:val="Default"/>
        <w:ind w:left="567" w:hanging="567"/>
        <w:jc w:val="both"/>
      </w:pPr>
      <w:r>
        <w:rPr>
          <w:rFonts w:ascii="Times New Roman" w:hAnsi="Times New Roman" w:cs="Times New Roman"/>
          <w:b/>
          <w:bCs/>
          <w:color w:val="auto"/>
          <w:lang w:val="uk-UA"/>
        </w:rPr>
        <w:t xml:space="preserve">Конкурс із відбору аудиторських фірм (Конкурс) </w:t>
      </w:r>
      <w:r>
        <w:rPr>
          <w:rFonts w:ascii="Times New Roman" w:hAnsi="Times New Roman" w:cs="Times New Roman"/>
          <w:color w:val="auto"/>
          <w:lang w:val="uk-UA"/>
        </w:rPr>
        <w:t xml:space="preserve">- конкурс із відбору Товариством суб'єктів аудиторської діяльності, які можуть бути призначені для надання послуг з </w:t>
      </w:r>
      <w:r>
        <w:rPr>
          <w:rFonts w:ascii="Times New Roman" w:hAnsi="Times New Roman" w:cs="Times New Roman"/>
          <w:color w:val="auto"/>
          <w:lang w:val="uk-UA"/>
        </w:rPr>
        <w:lastRenderedPageBreak/>
        <w:t>обов'язкового аудиту фінансової звітності Товариства, що проводиться відповідно до вимог Закону про аудит.</w:t>
      </w:r>
    </w:p>
    <w:p w:rsidR="00083E12" w:rsidRDefault="00670D5A">
      <w:pPr>
        <w:pStyle w:val="Default"/>
        <w:ind w:left="567" w:hanging="567"/>
        <w:jc w:val="both"/>
        <w:rPr>
          <w:lang w:val="uk-UA"/>
        </w:rPr>
      </w:pPr>
      <w:r>
        <w:rPr>
          <w:rFonts w:ascii="Times New Roman" w:hAnsi="Times New Roman" w:cs="Times New Roman"/>
          <w:b/>
          <w:color w:val="auto"/>
          <w:lang w:val="uk-UA"/>
        </w:rPr>
        <w:t>Комітет з питань аудиту</w:t>
      </w:r>
      <w:r>
        <w:rPr>
          <w:rFonts w:ascii="Times New Roman" w:hAnsi="Times New Roman" w:cs="Times New Roman"/>
          <w:color w:val="auto"/>
          <w:lang w:val="uk-UA"/>
        </w:rPr>
        <w:t xml:space="preserve"> – Комітет з питань аудиту Наглядової Ради АТ «ЛУГАНСЬКГАЗ», який створюється для </w:t>
      </w:r>
      <w:r>
        <w:rPr>
          <w:rFonts w:ascii="Times New Roman" w:hAnsi="Times New Roman" w:cs="Times New Roman"/>
          <w:iCs/>
          <w:lang w:val="uk-UA"/>
        </w:rPr>
        <w:t>здійснення нагляду за станом внутрішнього аудиту та системою внутрішнього контролю у Товаристві</w:t>
      </w:r>
      <w:r>
        <w:rPr>
          <w:rFonts w:ascii="Times New Roman" w:hAnsi="Times New Roman" w:cs="Times New Roman"/>
          <w:lang w:val="uk-UA"/>
        </w:rPr>
        <w:t>, виконувати обов’язки комітету з питань аудиту може орган, призначений Наглядовою радою Товариства (Ревізійна комісія Товариства).</w:t>
      </w:r>
    </w:p>
    <w:p w:rsidR="00083E12" w:rsidRDefault="00670D5A">
      <w:pPr>
        <w:pStyle w:val="Default"/>
        <w:ind w:left="567" w:hanging="567"/>
        <w:jc w:val="both"/>
        <w:rPr>
          <w:lang w:val="uk-UA"/>
        </w:rPr>
      </w:pPr>
      <w:r>
        <w:rPr>
          <w:rFonts w:ascii="Times New Roman" w:hAnsi="Times New Roman" w:cs="Times New Roman"/>
          <w:b/>
          <w:bCs/>
          <w:color w:val="auto"/>
          <w:lang w:val="uk-UA"/>
        </w:rPr>
        <w:t xml:space="preserve">Окремий розділ Реєстру аудиторів </w:t>
      </w:r>
      <w:r>
        <w:rPr>
          <w:rFonts w:ascii="Times New Roman" w:hAnsi="Times New Roman" w:cs="Times New Roman"/>
          <w:color w:val="auto"/>
          <w:lang w:val="uk-UA"/>
        </w:rPr>
        <w:t xml:space="preserve">- окремий розділ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 </w:t>
      </w:r>
    </w:p>
    <w:p w:rsidR="00083E12" w:rsidRDefault="00670D5A">
      <w:pPr>
        <w:pStyle w:val="Default"/>
        <w:ind w:left="567" w:hanging="567"/>
        <w:jc w:val="both"/>
        <w:rPr>
          <w:lang w:val="uk-UA"/>
        </w:rPr>
      </w:pPr>
      <w:r>
        <w:rPr>
          <w:rFonts w:ascii="Times New Roman" w:hAnsi="Times New Roman" w:cs="Times New Roman"/>
          <w:b/>
          <w:bCs/>
          <w:color w:val="auto"/>
          <w:lang w:val="uk-UA"/>
        </w:rPr>
        <w:t xml:space="preserve">Реєстр аудиторів та суб’єктів аудиторської діяльності (далі – Реєстр аудиторів) - </w:t>
      </w:r>
      <w:r>
        <w:rPr>
          <w:rFonts w:ascii="Times New Roman" w:hAnsi="Times New Roman" w:cs="Times New Roman"/>
          <w:bCs/>
          <w:color w:val="auto"/>
          <w:lang w:val="uk-UA"/>
        </w:rPr>
        <w:t>автоматизована система збирання, накопичення, захисту, обліку та надання інформації про аудиторів та суб’єктів аудиторської діяльності, які мають право на провадження аудиторської діяльності в Україні.</w:t>
      </w:r>
    </w:p>
    <w:p w:rsidR="00083E12" w:rsidRDefault="00670D5A">
      <w:pPr>
        <w:pStyle w:val="Default"/>
        <w:ind w:left="567" w:hanging="567"/>
        <w:jc w:val="both"/>
        <w:rPr>
          <w:lang w:val="uk-UA"/>
        </w:rPr>
      </w:pPr>
      <w:r>
        <w:rPr>
          <w:rFonts w:ascii="Times New Roman" w:hAnsi="Times New Roman" w:cs="Times New Roman"/>
          <w:b/>
          <w:bCs/>
          <w:color w:val="auto"/>
          <w:lang w:val="uk-UA"/>
        </w:rPr>
        <w:t xml:space="preserve">Суб'єкт аудиторської діяльності </w:t>
      </w:r>
      <w:r>
        <w:rPr>
          <w:rFonts w:ascii="Times New Roman" w:hAnsi="Times New Roman" w:cs="Times New Roman"/>
          <w:color w:val="auto"/>
          <w:lang w:val="uk-UA"/>
        </w:rPr>
        <w:t xml:space="preserve">-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провадження аудиторської діяльності на підставах та у порядку, передбачених Законом про аудит; включений до Реєстру як суб'єкт аудиторської діяльності. </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Інші терміни, які вживаються у цьому Порядку, застосовуються у значеннях, визначених законодавчими та нормативно-правовими актами України. </w:t>
      </w:r>
    </w:p>
    <w:p w:rsidR="00083E12" w:rsidRDefault="00670D5A">
      <w:pPr>
        <w:pStyle w:val="1"/>
        <w:numPr>
          <w:ilvl w:val="0"/>
          <w:numId w:val="1"/>
        </w:numPr>
        <w:jc w:val="center"/>
      </w:pPr>
      <w:r>
        <w:rPr>
          <w:rFonts w:ascii="Times New Roman" w:hAnsi="Times New Roman"/>
          <w:color w:val="auto"/>
          <w:sz w:val="24"/>
          <w:szCs w:val="24"/>
          <w:lang w:val="uk-UA"/>
        </w:rPr>
        <w:t>ЗАГАЛЬНІ ВИМОГИ</w:t>
      </w:r>
    </w:p>
    <w:p w:rsidR="00083E12" w:rsidRDefault="00083E12">
      <w:pPr>
        <w:jc w:val="center"/>
        <w:rPr>
          <w:rFonts w:ascii="Times New Roman" w:hAnsi="Times New Roman"/>
          <w:sz w:val="24"/>
          <w:szCs w:val="24"/>
          <w:lang w:val="uk-UA"/>
        </w:rPr>
      </w:pP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Загальні положення: </w:t>
      </w:r>
    </w:p>
    <w:p w:rsidR="00083E12" w:rsidRDefault="00670D5A">
      <w:pPr>
        <w:pStyle w:val="Default"/>
        <w:numPr>
          <w:ilvl w:val="2"/>
          <w:numId w:val="4"/>
        </w:numPr>
        <w:ind w:left="567" w:hanging="567"/>
        <w:jc w:val="both"/>
      </w:pPr>
      <w:r>
        <w:rPr>
          <w:rFonts w:ascii="Times New Roman" w:hAnsi="Times New Roman" w:cs="Times New Roman"/>
          <w:color w:val="auto"/>
          <w:lang w:val="uk-UA"/>
        </w:rPr>
        <w:t>До Конкурсу запрошуються аудиторські фірми, які відповідають вимогам Закону про аудит, включені до окремого розділу Реєстру аудиторів та суб’єктів аудиторської діяльності,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та які не мають обмежень, пов’язаних з тривалістю надання послуг Товариству.</w:t>
      </w:r>
    </w:p>
    <w:p w:rsidR="00083E12" w:rsidRDefault="00670D5A">
      <w:pPr>
        <w:pStyle w:val="Default"/>
        <w:numPr>
          <w:ilvl w:val="2"/>
          <w:numId w:val="4"/>
        </w:numPr>
        <w:ind w:left="567" w:hanging="567"/>
        <w:jc w:val="both"/>
      </w:pPr>
      <w:r>
        <w:rPr>
          <w:rFonts w:ascii="Times New Roman" w:hAnsi="Times New Roman" w:cs="Times New Roman"/>
          <w:color w:val="auto"/>
          <w:lang w:val="uk-UA"/>
        </w:rPr>
        <w:t>Метою проведення Конкурсу є вибір на конкурсних засадах аудиторської фірми для проведення аудиту фінансової звітності АТ «ЛУГАНСЬКГАЗ». Відповідальність за проведення Конкурсу покладається на Комітет з питань аудиту Наглядової Ради Товариства, або орган Товариства, на який покладено його функції.</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Об'єктом аудиторської перевірки є: </w:t>
      </w:r>
    </w:p>
    <w:p w:rsidR="00083E12" w:rsidRDefault="00670D5A">
      <w:pPr>
        <w:pStyle w:val="Default"/>
        <w:numPr>
          <w:ilvl w:val="2"/>
          <w:numId w:val="4"/>
        </w:numPr>
        <w:ind w:left="567" w:hanging="567"/>
        <w:jc w:val="both"/>
      </w:pPr>
      <w:r>
        <w:rPr>
          <w:rFonts w:ascii="Times New Roman" w:hAnsi="Times New Roman" w:cs="Times New Roman"/>
          <w:color w:val="auto"/>
          <w:lang w:val="uk-UA"/>
        </w:rPr>
        <w:t xml:space="preserve">Фінансова звітність Товариства, складена відповідно до МСФЗ за рік (далі – Фінансова звітність) відповідно до вимог законодавства та нормативно-правових актів Національної комісії цінних паперів та фондовому ринку,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про аудит. </w:t>
      </w:r>
    </w:p>
    <w:p w:rsidR="00083E12" w:rsidRDefault="00670D5A">
      <w:pPr>
        <w:pStyle w:val="Default"/>
        <w:numPr>
          <w:ilvl w:val="2"/>
          <w:numId w:val="4"/>
        </w:numPr>
        <w:ind w:left="567" w:hanging="567"/>
        <w:jc w:val="both"/>
      </w:pPr>
      <w:r>
        <w:rPr>
          <w:rFonts w:ascii="Times New Roman" w:hAnsi="Times New Roman" w:cs="Times New Roman"/>
          <w:color w:val="auto"/>
          <w:lang w:val="uk-UA"/>
        </w:rPr>
        <w:t>Звіт про управління (Звіт керівництва)</w:t>
      </w:r>
      <w:r>
        <w:rPr>
          <w:rFonts w:ascii="Times New Roman" w:hAnsi="Times New Roman" w:cs="Times New Roman"/>
          <w:color w:val="auto"/>
        </w:rPr>
        <w:t xml:space="preserve"> </w:t>
      </w:r>
      <w:r>
        <w:rPr>
          <w:rFonts w:ascii="Times New Roman" w:hAnsi="Times New Roman" w:cs="Times New Roman"/>
          <w:color w:val="auto"/>
          <w:lang w:val="uk-UA"/>
        </w:rPr>
        <w:t xml:space="preserve">Товариства. </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Відбір суб’єктів аудиторської діяльності здійснюється за такими принципами: </w:t>
      </w:r>
    </w:p>
    <w:p w:rsidR="00083E12" w:rsidRDefault="00670D5A">
      <w:pPr>
        <w:pStyle w:val="Default"/>
        <w:numPr>
          <w:ilvl w:val="0"/>
          <w:numId w:val="3"/>
        </w:numPr>
        <w:jc w:val="both"/>
      </w:pPr>
      <w:r>
        <w:rPr>
          <w:rFonts w:ascii="Times New Roman" w:hAnsi="Times New Roman" w:cs="Times New Roman"/>
          <w:color w:val="auto"/>
          <w:lang w:val="uk-UA"/>
        </w:rPr>
        <w:t xml:space="preserve">відкритість та прозорість Конкурсу; </w:t>
      </w:r>
    </w:p>
    <w:p w:rsidR="00083E12" w:rsidRDefault="00670D5A">
      <w:pPr>
        <w:pStyle w:val="Default"/>
        <w:numPr>
          <w:ilvl w:val="0"/>
          <w:numId w:val="3"/>
        </w:numPr>
        <w:jc w:val="both"/>
      </w:pPr>
      <w:r>
        <w:rPr>
          <w:rFonts w:ascii="Times New Roman" w:hAnsi="Times New Roman" w:cs="Times New Roman"/>
          <w:color w:val="auto"/>
          <w:lang w:val="uk-UA"/>
        </w:rPr>
        <w:t xml:space="preserve">максимальна економія та ефективність; </w:t>
      </w:r>
    </w:p>
    <w:p w:rsidR="00083E12" w:rsidRDefault="00670D5A">
      <w:pPr>
        <w:pStyle w:val="Default"/>
        <w:numPr>
          <w:ilvl w:val="0"/>
          <w:numId w:val="3"/>
        </w:numPr>
        <w:jc w:val="both"/>
      </w:pPr>
      <w:r>
        <w:rPr>
          <w:rFonts w:ascii="Times New Roman" w:hAnsi="Times New Roman" w:cs="Times New Roman"/>
          <w:color w:val="auto"/>
          <w:lang w:val="uk-UA"/>
        </w:rPr>
        <w:t xml:space="preserve">добросовісна конкуренція серед учасників Конкурсу; </w:t>
      </w:r>
    </w:p>
    <w:p w:rsidR="00083E12" w:rsidRDefault="00670D5A">
      <w:pPr>
        <w:pStyle w:val="Default"/>
        <w:numPr>
          <w:ilvl w:val="0"/>
          <w:numId w:val="3"/>
        </w:numPr>
        <w:jc w:val="both"/>
      </w:pPr>
      <w:r>
        <w:rPr>
          <w:rFonts w:ascii="Times New Roman" w:hAnsi="Times New Roman" w:cs="Times New Roman"/>
          <w:color w:val="auto"/>
          <w:lang w:val="uk-UA"/>
        </w:rPr>
        <w:t xml:space="preserve">відсутність дискримінації учасників Конкурсу; </w:t>
      </w:r>
    </w:p>
    <w:p w:rsidR="00083E12" w:rsidRDefault="00670D5A">
      <w:pPr>
        <w:pStyle w:val="Default"/>
        <w:numPr>
          <w:ilvl w:val="0"/>
          <w:numId w:val="3"/>
        </w:numPr>
        <w:jc w:val="both"/>
      </w:pPr>
      <w:r>
        <w:rPr>
          <w:rFonts w:ascii="Times New Roman" w:hAnsi="Times New Roman" w:cs="Times New Roman"/>
          <w:color w:val="auto"/>
          <w:lang w:val="uk-UA"/>
        </w:rPr>
        <w:t xml:space="preserve">об’єктивність та неупередженість оцінки конкурсних пропозицій; </w:t>
      </w:r>
    </w:p>
    <w:p w:rsidR="00083E12" w:rsidRDefault="00670D5A">
      <w:pPr>
        <w:pStyle w:val="Default"/>
        <w:numPr>
          <w:ilvl w:val="0"/>
          <w:numId w:val="3"/>
        </w:numPr>
        <w:jc w:val="both"/>
      </w:pPr>
      <w:r>
        <w:rPr>
          <w:rFonts w:ascii="Times New Roman" w:hAnsi="Times New Roman" w:cs="Times New Roman"/>
          <w:color w:val="auto"/>
          <w:lang w:val="uk-UA"/>
        </w:rPr>
        <w:lastRenderedPageBreak/>
        <w:t xml:space="preserve">запобігання корупційним діям і зловживанням. </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Товариство забезпечує вільний доступ усіх суб’єктів аудиторської діяльності до участі у Конкурсі відповідно до цього Порядку. </w:t>
      </w:r>
    </w:p>
    <w:p w:rsidR="00083E12" w:rsidRDefault="00670D5A">
      <w:pPr>
        <w:pStyle w:val="1"/>
        <w:numPr>
          <w:ilvl w:val="0"/>
          <w:numId w:val="1"/>
        </w:numPr>
        <w:spacing w:before="360"/>
        <w:ind w:left="714" w:hanging="357"/>
        <w:jc w:val="center"/>
      </w:pPr>
      <w:r>
        <w:rPr>
          <w:rFonts w:ascii="Times New Roman" w:hAnsi="Times New Roman"/>
          <w:color w:val="auto"/>
          <w:sz w:val="24"/>
          <w:szCs w:val="24"/>
          <w:lang w:val="uk-UA"/>
        </w:rPr>
        <w:t xml:space="preserve"> КРИТЕРІЇ ВІДБОРУ СУБ’ЄКТІВ АУДИТОРСЬКОЇ ДІЯЛЬНОСТІ </w:t>
      </w:r>
    </w:p>
    <w:p w:rsidR="00083E12" w:rsidRDefault="00083E12">
      <w:pPr>
        <w:spacing w:before="360" w:after="0"/>
        <w:ind w:left="714" w:hanging="357"/>
        <w:jc w:val="center"/>
        <w:rPr>
          <w:rFonts w:ascii="Times New Roman" w:hAnsi="Times New Roman"/>
          <w:sz w:val="24"/>
          <w:szCs w:val="24"/>
          <w:lang w:val="uk-UA"/>
        </w:rPr>
      </w:pP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Аудиторські послуги можуть надаватись лише суб’єктом аудиторської діяльності, якому таке право надано на підставі Закону про аудит і який відповідає наступним критеріям: </w:t>
      </w:r>
    </w:p>
    <w:p w:rsidR="00083E12" w:rsidRDefault="00670D5A">
      <w:pPr>
        <w:pStyle w:val="Default"/>
        <w:numPr>
          <w:ilvl w:val="0"/>
          <w:numId w:val="3"/>
        </w:numPr>
        <w:jc w:val="both"/>
      </w:pPr>
      <w:r>
        <w:rPr>
          <w:rFonts w:ascii="Times New Roman" w:hAnsi="Times New Roman" w:cs="Times New Roman"/>
          <w:color w:val="auto"/>
          <w:lang w:val="uk-UA"/>
        </w:rPr>
        <w:t xml:space="preserve">відповідають встановленим Законом про аудит та Законом про акціонерні товариства вимогам; </w:t>
      </w:r>
    </w:p>
    <w:p w:rsidR="00083E12" w:rsidRDefault="00670D5A">
      <w:pPr>
        <w:pStyle w:val="Default"/>
        <w:numPr>
          <w:ilvl w:val="0"/>
          <w:numId w:val="3"/>
        </w:numPr>
        <w:jc w:val="both"/>
      </w:pPr>
      <w:r>
        <w:rPr>
          <w:rFonts w:ascii="Times New Roman" w:hAnsi="Times New Roman" w:cs="Times New Roman"/>
          <w:color w:val="auto"/>
          <w:lang w:val="uk-UA"/>
        </w:rPr>
        <w:t>не є афілійованою особою Товариства або афілійованою особою посадової особи Товариства, є незалежною від Товариства особою;</w:t>
      </w:r>
    </w:p>
    <w:p w:rsidR="00083E12" w:rsidRDefault="00670D5A">
      <w:pPr>
        <w:pStyle w:val="Default"/>
        <w:numPr>
          <w:ilvl w:val="0"/>
          <w:numId w:val="3"/>
        </w:numPr>
        <w:jc w:val="both"/>
      </w:pPr>
      <w:r>
        <w:rPr>
          <w:rFonts w:ascii="Times New Roman" w:hAnsi="Times New Roman" w:cs="Times New Roman"/>
          <w:color w:val="auto"/>
          <w:lang w:val="uk-UA"/>
        </w:rPr>
        <w:t xml:space="preserve">включені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rsidR="00083E12" w:rsidRDefault="00670D5A">
      <w:pPr>
        <w:pStyle w:val="Default"/>
        <w:numPr>
          <w:ilvl w:val="0"/>
          <w:numId w:val="3"/>
        </w:numPr>
        <w:jc w:val="both"/>
      </w:pPr>
      <w:r>
        <w:rPr>
          <w:rFonts w:ascii="Times New Roman" w:hAnsi="Times New Roman" w:cs="Times New Roman"/>
          <w:color w:val="auto"/>
          <w:lang w:val="uk-UA"/>
        </w:rPr>
        <w:t xml:space="preserve">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 </w:t>
      </w:r>
    </w:p>
    <w:p w:rsidR="00083E12" w:rsidRDefault="00670D5A">
      <w:pPr>
        <w:pStyle w:val="Default"/>
        <w:numPr>
          <w:ilvl w:val="0"/>
          <w:numId w:val="3"/>
        </w:numPr>
        <w:jc w:val="both"/>
      </w:pPr>
      <w:r>
        <w:rPr>
          <w:rFonts w:ascii="Times New Roman" w:hAnsi="Times New Roman" w:cs="Times New Roman"/>
          <w:color w:val="auto"/>
          <w:lang w:val="uk-UA"/>
        </w:rPr>
        <w:t xml:space="preserve">має добру репутацію (відсутні протягом 3 (трьох) років поспіль застосування до аудиторської фірми стягнень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 </w:t>
      </w:r>
    </w:p>
    <w:p w:rsidR="00083E12" w:rsidRDefault="00670D5A">
      <w:pPr>
        <w:pStyle w:val="Default"/>
        <w:numPr>
          <w:ilvl w:val="0"/>
          <w:numId w:val="3"/>
        </w:numPr>
        <w:jc w:val="both"/>
      </w:pPr>
      <w:r>
        <w:rPr>
          <w:rFonts w:ascii="Times New Roman" w:hAnsi="Times New Roman" w:cs="Times New Roman"/>
          <w:color w:val="auto"/>
          <w:lang w:val="uk-UA"/>
        </w:rPr>
        <w:t>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083E12" w:rsidRDefault="00670D5A">
      <w:pPr>
        <w:pStyle w:val="Default"/>
        <w:numPr>
          <w:ilvl w:val="0"/>
          <w:numId w:val="3"/>
        </w:numPr>
        <w:jc w:val="both"/>
      </w:pPr>
      <w:r>
        <w:rPr>
          <w:rFonts w:ascii="Times New Roman" w:hAnsi="Times New Roman" w:cs="Times New Roman"/>
          <w:color w:val="auto"/>
          <w:lang w:val="uk-UA"/>
        </w:rPr>
        <w:t xml:space="preserve">відсутні порушення вимог щодо забезпечення незалежності суб’єкта аудиторської діяльності, у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rsidR="00083E12" w:rsidRDefault="00670D5A">
      <w:pPr>
        <w:pStyle w:val="Default"/>
        <w:ind w:left="1418" w:hanging="284"/>
        <w:jc w:val="both"/>
      </w:pPr>
      <w:r>
        <w:rPr>
          <w:rFonts w:ascii="Times New Roman" w:hAnsi="Times New Roman" w:cs="Times New Roman"/>
          <w:color w:val="auto"/>
          <w:lang w:val="uk-UA"/>
        </w:rPr>
        <w:t xml:space="preserve">1) не є власниками фінансових інструментів, емітованих Товариством, фінансова звітність якої підлягає перевірці, або юридичної особи, пов'язаної з Товариством особою спільною власністю, контролем та управлінням, крім тих, що належать такій юридичній особі опосередковано через інститути спільного інвестування; </w:t>
      </w:r>
    </w:p>
    <w:p w:rsidR="00083E12" w:rsidRDefault="00670D5A">
      <w:pPr>
        <w:pStyle w:val="Default"/>
        <w:ind w:left="1418" w:hanging="284"/>
        <w:jc w:val="both"/>
      </w:pPr>
      <w:r>
        <w:rPr>
          <w:rFonts w:ascii="Times New Roman" w:hAnsi="Times New Roman" w:cs="Times New Roman"/>
          <w:color w:val="auto"/>
          <w:lang w:val="uk-UA"/>
        </w:rPr>
        <w:t xml:space="preserve">2) не беруть участь в операціях з фінансовими інструментами, емітованими, гарантованими або іншим чином підтримуваними Товариством, фінансова звітність якого підлягає перевірці, крім операцій у межах інститутів спільного інвестування; </w:t>
      </w:r>
    </w:p>
    <w:p w:rsidR="00083E12" w:rsidRDefault="00670D5A">
      <w:pPr>
        <w:pStyle w:val="Default"/>
        <w:ind w:left="1418" w:hanging="284"/>
        <w:jc w:val="both"/>
      </w:pPr>
      <w:r>
        <w:rPr>
          <w:rFonts w:ascii="Times New Roman" w:hAnsi="Times New Roman" w:cs="Times New Roman"/>
          <w:color w:val="auto"/>
          <w:lang w:val="uk-UA"/>
        </w:rPr>
        <w:t xml:space="preserve">3) не перебували протягом періодів, зазначених у частині першій статті 10 Закону про аудит, у трудових, договірних або інших відносинах з Товариством, фінансова звітність якого підлягає перевірці, що можуть призвести до конфлікту інтересів; </w:t>
      </w:r>
    </w:p>
    <w:p w:rsidR="00083E12" w:rsidRDefault="00670D5A">
      <w:pPr>
        <w:pStyle w:val="Default"/>
        <w:numPr>
          <w:ilvl w:val="0"/>
          <w:numId w:val="3"/>
        </w:numPr>
        <w:jc w:val="both"/>
      </w:pPr>
      <w:r>
        <w:rPr>
          <w:rFonts w:ascii="Times New Roman" w:hAnsi="Times New Roman" w:cs="Times New Roman"/>
          <w:lang w:val="uk-UA"/>
        </w:rPr>
        <w:lastRenderedPageBreak/>
        <w:t>сума винагороди, отримана аудиторською фірмою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w:t>
      </w:r>
      <w:r>
        <w:rPr>
          <w:rFonts w:ascii="Times New Roman" w:hAnsi="Times New Roman" w:cs="Times New Roman"/>
          <w:color w:val="auto"/>
          <w:lang w:val="uk-UA"/>
        </w:rPr>
        <w:t xml:space="preserve">; </w:t>
      </w:r>
    </w:p>
    <w:p w:rsidR="00083E12" w:rsidRDefault="00670D5A">
      <w:pPr>
        <w:pStyle w:val="Default"/>
        <w:numPr>
          <w:ilvl w:val="0"/>
          <w:numId w:val="3"/>
        </w:numPr>
        <w:jc w:val="both"/>
      </w:pPr>
      <w:r>
        <w:rPr>
          <w:rFonts w:ascii="Times New Roman" w:hAnsi="Times New Roman" w:cs="Times New Roman"/>
          <w:color w:val="auto"/>
          <w:lang w:val="uk-UA"/>
        </w:rPr>
        <w:t xml:space="preserve">не має обмежень пов’язаних із тривалістю надання послуг Товариству; </w:t>
      </w:r>
    </w:p>
    <w:p w:rsidR="00083E12" w:rsidRDefault="00670D5A">
      <w:pPr>
        <w:pStyle w:val="Default"/>
        <w:numPr>
          <w:ilvl w:val="0"/>
          <w:numId w:val="3"/>
        </w:numPr>
        <w:jc w:val="both"/>
      </w:pPr>
      <w:r>
        <w:rPr>
          <w:rFonts w:ascii="Times New Roman" w:hAnsi="Times New Roman" w:cs="Times New Roman"/>
          <w:color w:val="auto"/>
          <w:lang w:val="uk-UA"/>
        </w:rPr>
        <w:t xml:space="preserve">відсутні обмеження щодо надання послуг передбачені статтею 27 Закону про аудит; </w:t>
      </w:r>
    </w:p>
    <w:p w:rsidR="00083E12" w:rsidRDefault="00670D5A">
      <w:pPr>
        <w:pStyle w:val="Default"/>
        <w:numPr>
          <w:ilvl w:val="0"/>
          <w:numId w:val="3"/>
        </w:numPr>
        <w:jc w:val="both"/>
      </w:pPr>
      <w:r>
        <w:rPr>
          <w:rFonts w:ascii="Times New Roman" w:hAnsi="Times New Roman" w:cs="Times New Roman"/>
          <w:color w:val="auto"/>
          <w:lang w:val="uk-UA"/>
        </w:rPr>
        <w:t xml:space="preserve">має чинний договір страхування цивільно-правової відповідальності перед третіми особами, укладений відповідно до положень  законодавства України; </w:t>
      </w:r>
    </w:p>
    <w:p w:rsidR="00083E12" w:rsidRDefault="00670D5A">
      <w:pPr>
        <w:pStyle w:val="Default"/>
        <w:numPr>
          <w:ilvl w:val="0"/>
          <w:numId w:val="3"/>
        </w:numPr>
        <w:jc w:val="both"/>
      </w:pPr>
      <w:r>
        <w:rPr>
          <w:rFonts w:ascii="Times New Roman" w:hAnsi="Times New Roman" w:cs="Times New Roman"/>
          <w:color w:val="auto"/>
          <w:lang w:val="uk-UA"/>
        </w:rPr>
        <w:t>мають чинне свідоцтво про відповідність системи контролю якості на дату оголошення конкурсу;</w:t>
      </w:r>
    </w:p>
    <w:p w:rsidR="00083E12" w:rsidRDefault="00670D5A">
      <w:pPr>
        <w:pStyle w:val="Default"/>
        <w:numPr>
          <w:ilvl w:val="0"/>
          <w:numId w:val="3"/>
        </w:numPr>
        <w:jc w:val="both"/>
      </w:pPr>
      <w:r>
        <w:rPr>
          <w:rFonts w:ascii="Times New Roman" w:hAnsi="Times New Roman" w:cs="Times New Roman"/>
          <w:color w:val="auto"/>
          <w:lang w:val="uk-UA"/>
        </w:rPr>
        <w:t>має досвід надання послуг щодо аудиту фінансової звітності відповідно до міжнародних стандартів.</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Вимоги та критерії залучення суб’єктів аудиторської діяльності можуть конкретизуватись у конкурсній документації, яка складається на підставі Додатків 1, 2, 3 до цього Порядку. </w:t>
      </w:r>
    </w:p>
    <w:p w:rsidR="00083E12" w:rsidRDefault="00670D5A">
      <w:pPr>
        <w:pStyle w:val="1"/>
        <w:numPr>
          <w:ilvl w:val="0"/>
          <w:numId w:val="1"/>
        </w:numPr>
        <w:jc w:val="center"/>
      </w:pPr>
      <w:r>
        <w:rPr>
          <w:rFonts w:ascii="Times New Roman" w:hAnsi="Times New Roman"/>
          <w:color w:val="auto"/>
          <w:sz w:val="24"/>
          <w:szCs w:val="24"/>
          <w:lang w:val="uk-UA"/>
        </w:rPr>
        <w:t>ПОРЯДОК ПОДАННЯ КОНКУРСНИХ ПРОПОЗИЦІЙ ТА ПРИЗНАЧЕННЯ АУДИТОРСЬКОЇ ФІРМИ</w:t>
      </w:r>
    </w:p>
    <w:p w:rsidR="00083E12" w:rsidRDefault="00083E12">
      <w:pPr>
        <w:jc w:val="center"/>
        <w:rPr>
          <w:rFonts w:ascii="Times New Roman" w:hAnsi="Times New Roman"/>
          <w:sz w:val="24"/>
          <w:szCs w:val="24"/>
          <w:lang w:val="uk-UA"/>
        </w:rPr>
      </w:pPr>
    </w:p>
    <w:p w:rsidR="00083E12" w:rsidRPr="00670D5A" w:rsidRDefault="00670D5A">
      <w:pPr>
        <w:pStyle w:val="Default"/>
        <w:numPr>
          <w:ilvl w:val="1"/>
          <w:numId w:val="4"/>
        </w:numPr>
        <w:ind w:left="567" w:hanging="567"/>
        <w:jc w:val="both"/>
        <w:rPr>
          <w:lang w:val="uk-UA"/>
        </w:rPr>
      </w:pPr>
      <w:r>
        <w:rPr>
          <w:rFonts w:ascii="Times New Roman" w:hAnsi="Times New Roman" w:cs="Times New Roman"/>
          <w:color w:val="auto"/>
          <w:lang w:val="uk-UA"/>
        </w:rPr>
        <w:t xml:space="preserve">На офіційному веб-сайті Товариства розміщується (оприлюднюється) Інформаційне повідомлення </w:t>
      </w:r>
      <w:r>
        <w:rPr>
          <w:rFonts w:ascii="Times New Roman" w:hAnsi="Times New Roman" w:cs="Times New Roman"/>
          <w:bCs/>
          <w:lang w:val="uk-UA"/>
        </w:rPr>
        <w:t>про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АТ «ЛУГАНСЬКГАЗ»</w:t>
      </w:r>
      <w:r>
        <w:rPr>
          <w:rFonts w:ascii="Times New Roman" w:hAnsi="Times New Roman" w:cs="Times New Roman"/>
          <w:color w:val="auto"/>
          <w:lang w:val="uk-UA"/>
        </w:rPr>
        <w:t xml:space="preserve"> (Додаток 1 до цього Порядку, далі - Інформаційне повідомлення), яке повинно щонайменше містити: </w:t>
      </w:r>
    </w:p>
    <w:p w:rsidR="00083E12" w:rsidRDefault="00670D5A">
      <w:pPr>
        <w:pStyle w:val="Default"/>
        <w:numPr>
          <w:ilvl w:val="0"/>
          <w:numId w:val="3"/>
        </w:numPr>
        <w:jc w:val="both"/>
      </w:pPr>
      <w:r>
        <w:rPr>
          <w:rFonts w:ascii="Times New Roman" w:eastAsia="Times New Roman" w:hAnsi="Times New Roman" w:cs="Times New Roman"/>
          <w:color w:val="auto"/>
          <w:lang w:val="uk-UA"/>
        </w:rPr>
        <w:t xml:space="preserve"> </w:t>
      </w:r>
      <w:r>
        <w:rPr>
          <w:rFonts w:ascii="Times New Roman" w:hAnsi="Times New Roman" w:cs="Times New Roman"/>
          <w:color w:val="auto"/>
          <w:lang w:val="uk-UA"/>
        </w:rPr>
        <w:t xml:space="preserve">реквізити Товариства (адресу електронної пошти та інформацію щодо контактної особи); </w:t>
      </w:r>
    </w:p>
    <w:p w:rsidR="00083E12" w:rsidRDefault="00670D5A">
      <w:pPr>
        <w:pStyle w:val="Default"/>
        <w:numPr>
          <w:ilvl w:val="0"/>
          <w:numId w:val="3"/>
        </w:numPr>
        <w:jc w:val="both"/>
      </w:pPr>
      <w:r>
        <w:rPr>
          <w:rFonts w:ascii="Times New Roman" w:eastAsia="Times New Roman" w:hAnsi="Times New Roman" w:cs="Times New Roman"/>
          <w:color w:val="auto"/>
          <w:lang w:val="uk-UA"/>
        </w:rPr>
        <w:t xml:space="preserve"> </w:t>
      </w:r>
      <w:r>
        <w:rPr>
          <w:rFonts w:ascii="Times New Roman" w:hAnsi="Times New Roman" w:cs="Times New Roman"/>
          <w:color w:val="auto"/>
          <w:lang w:val="uk-UA"/>
        </w:rPr>
        <w:t>кінцевий строк (дата) подання конкурсних пропозицій;</w:t>
      </w:r>
    </w:p>
    <w:p w:rsidR="00083E12" w:rsidRDefault="00670D5A">
      <w:pPr>
        <w:pStyle w:val="Default"/>
        <w:numPr>
          <w:ilvl w:val="0"/>
          <w:numId w:val="3"/>
        </w:numPr>
        <w:jc w:val="both"/>
      </w:pPr>
      <w:r>
        <w:rPr>
          <w:rFonts w:ascii="Times New Roman" w:eastAsia="Times New Roman" w:hAnsi="Times New Roman" w:cs="Times New Roman"/>
          <w:color w:val="auto"/>
          <w:lang w:val="uk-UA"/>
        </w:rPr>
        <w:t xml:space="preserve"> </w:t>
      </w:r>
      <w:r>
        <w:rPr>
          <w:rFonts w:ascii="Times New Roman" w:hAnsi="Times New Roman" w:cs="Times New Roman"/>
          <w:color w:val="auto"/>
          <w:lang w:val="uk-UA"/>
        </w:rPr>
        <w:t xml:space="preserve">інформацію про діяльність Товариства та завдання з обов’язкового аудиту фінансової звітності; </w:t>
      </w:r>
    </w:p>
    <w:p w:rsidR="00083E12" w:rsidRDefault="00670D5A">
      <w:pPr>
        <w:pStyle w:val="Default"/>
        <w:numPr>
          <w:ilvl w:val="0"/>
          <w:numId w:val="3"/>
        </w:numPr>
        <w:jc w:val="both"/>
      </w:pPr>
      <w:r>
        <w:rPr>
          <w:rFonts w:ascii="Times New Roman" w:eastAsia="Times New Roman" w:hAnsi="Times New Roman" w:cs="Times New Roman"/>
          <w:color w:val="auto"/>
          <w:lang w:val="uk-UA"/>
        </w:rPr>
        <w:t xml:space="preserve"> </w:t>
      </w:r>
      <w:r>
        <w:rPr>
          <w:rFonts w:ascii="Times New Roman" w:hAnsi="Times New Roman" w:cs="Times New Roman"/>
          <w:color w:val="auto"/>
          <w:lang w:val="uk-UA"/>
        </w:rPr>
        <w:t xml:space="preserve">загальні критерії, визначені для відбору аудиторської фірми; </w:t>
      </w:r>
    </w:p>
    <w:p w:rsidR="00083E12" w:rsidRDefault="00670D5A">
      <w:pPr>
        <w:pStyle w:val="Default"/>
        <w:numPr>
          <w:ilvl w:val="0"/>
          <w:numId w:val="3"/>
        </w:numPr>
        <w:jc w:val="both"/>
      </w:pPr>
      <w:r>
        <w:rPr>
          <w:rFonts w:ascii="Times New Roman" w:eastAsia="Times New Roman" w:hAnsi="Times New Roman" w:cs="Times New Roman"/>
          <w:color w:val="auto"/>
          <w:lang w:val="uk-UA"/>
        </w:rPr>
        <w:t xml:space="preserve"> </w:t>
      </w:r>
      <w:r>
        <w:rPr>
          <w:rFonts w:ascii="Times New Roman" w:hAnsi="Times New Roman" w:cs="Times New Roman"/>
          <w:color w:val="auto"/>
          <w:lang w:val="uk-UA"/>
        </w:rPr>
        <w:t xml:space="preserve">графік проведення Конкурсу; </w:t>
      </w:r>
    </w:p>
    <w:p w:rsidR="00083E12" w:rsidRDefault="00670D5A">
      <w:pPr>
        <w:pStyle w:val="Default"/>
        <w:numPr>
          <w:ilvl w:val="0"/>
          <w:numId w:val="3"/>
        </w:numPr>
        <w:jc w:val="both"/>
      </w:pPr>
      <w:r>
        <w:rPr>
          <w:rFonts w:ascii="Times New Roman" w:eastAsia="Times New Roman" w:hAnsi="Times New Roman" w:cs="Times New Roman"/>
          <w:color w:val="auto"/>
          <w:lang w:val="uk-UA"/>
        </w:rPr>
        <w:t xml:space="preserve"> </w:t>
      </w:r>
      <w:r>
        <w:rPr>
          <w:rFonts w:ascii="Times New Roman" w:hAnsi="Times New Roman" w:cs="Times New Roman"/>
          <w:color w:val="auto"/>
          <w:lang w:val="uk-UA"/>
        </w:rPr>
        <w:t>інформація та документи, які надаються для участі у Конкурсі.</w:t>
      </w:r>
    </w:p>
    <w:p w:rsidR="00083E12" w:rsidRDefault="00670D5A">
      <w:pPr>
        <w:pStyle w:val="Default"/>
        <w:numPr>
          <w:ilvl w:val="1"/>
          <w:numId w:val="4"/>
        </w:numPr>
        <w:ind w:left="567" w:hanging="567"/>
        <w:jc w:val="both"/>
        <w:rPr>
          <w:lang w:val="uk-UA"/>
        </w:rPr>
      </w:pPr>
      <w:r>
        <w:rPr>
          <w:rFonts w:ascii="Times New Roman" w:hAnsi="Times New Roman" w:cs="Times New Roman"/>
          <w:color w:val="auto"/>
          <w:lang w:val="uk-UA"/>
        </w:rPr>
        <w:t>Інформаційне повідомлення повинне включати в себе інформацію, що має міститися в тендерній документації відповідно до вимог Закону про аудит. Суб’єкти аудиторської діяльності, які виявили бажання брати участь у Конкурсі, безкоштовно можуть ознайомитись з зазначеною інформацією на офіційному веб-сайті Товариства.</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Конкурсні пропозиції подаються суб’єктами аудиторської діяльності засобами електронної пошти на адресу, яка зазначена в Інформаційному повідомленні. Конкурсна пропозиція надається разом із сканованими копіями документів, що подаються для участі в конкурсі згідно вимог Інформаційного повідомлення. </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Документи, що подаються суб’єктом аудиторської діяльності для участі в Конкурсі, мають бути викладені українською мовою та засвідчені  підписом уповноваженої особи суб’єкта аудиторської діяльності. Скановані копії документів, що подаються у складі конкурсної пропозиції повинні бути завірені підписом уповноваженої особи та печаткою (за наявності). </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Конкурсні пропозиції подаються у строки, зазначені у Інформаційному повідомленні. </w:t>
      </w:r>
    </w:p>
    <w:p w:rsidR="00083E12" w:rsidRDefault="00670D5A">
      <w:pPr>
        <w:pStyle w:val="Default"/>
        <w:numPr>
          <w:ilvl w:val="1"/>
          <w:numId w:val="4"/>
        </w:numPr>
        <w:ind w:left="567" w:hanging="567"/>
        <w:jc w:val="both"/>
      </w:pPr>
      <w:r>
        <w:rPr>
          <w:rFonts w:ascii="Times New Roman" w:hAnsi="Times New Roman" w:cs="Times New Roman"/>
          <w:color w:val="auto"/>
          <w:lang w:val="uk-UA"/>
        </w:rPr>
        <w:t>Конкурсні пропозиції, отримані Товариством після закінчення строку їх подання, не розглядаються.</w:t>
      </w:r>
    </w:p>
    <w:p w:rsidR="00083E12" w:rsidRDefault="00670D5A">
      <w:pPr>
        <w:pStyle w:val="Default"/>
        <w:numPr>
          <w:ilvl w:val="1"/>
          <w:numId w:val="4"/>
        </w:numPr>
        <w:ind w:left="567" w:hanging="567"/>
        <w:jc w:val="both"/>
      </w:pPr>
      <w:r>
        <w:rPr>
          <w:rFonts w:ascii="Times New Roman" w:hAnsi="Times New Roman" w:cs="Times New Roman"/>
          <w:color w:val="auto"/>
          <w:lang w:val="uk-UA"/>
        </w:rPr>
        <w:lastRenderedPageBreak/>
        <w:t xml:space="preserve">Учасник Конкурсу має право </w:t>
      </w:r>
      <w:proofErr w:type="spellStart"/>
      <w:r>
        <w:rPr>
          <w:rFonts w:ascii="Times New Roman" w:hAnsi="Times New Roman" w:cs="Times New Roman"/>
          <w:color w:val="auto"/>
          <w:lang w:val="uk-UA"/>
        </w:rPr>
        <w:t>внести</w:t>
      </w:r>
      <w:proofErr w:type="spellEnd"/>
      <w:r>
        <w:rPr>
          <w:rFonts w:ascii="Times New Roman" w:hAnsi="Times New Roman" w:cs="Times New Roman"/>
          <w:color w:val="auto"/>
          <w:lang w:val="uk-UA"/>
        </w:rPr>
        <w:t xml:space="preserve"> зміни до своєї конкурсної пропозиції до закінчення строку її подання. </w:t>
      </w:r>
    </w:p>
    <w:p w:rsidR="00083E12" w:rsidRDefault="00670D5A">
      <w:pPr>
        <w:pStyle w:val="Default"/>
        <w:numPr>
          <w:ilvl w:val="1"/>
          <w:numId w:val="4"/>
        </w:numPr>
        <w:ind w:left="567" w:hanging="567"/>
        <w:jc w:val="both"/>
      </w:pPr>
      <w:r>
        <w:rPr>
          <w:rFonts w:ascii="Times New Roman" w:hAnsi="Times New Roman" w:cs="Times New Roman"/>
          <w:color w:val="auto"/>
          <w:lang w:val="uk-UA"/>
        </w:rPr>
        <w:t xml:space="preserve">Кожен учасник має право подати тільки одну конкурсну пропозицію, яка не може бути змінена після закінчення строку подання конкурсних пропозицій. </w:t>
      </w:r>
    </w:p>
    <w:p w:rsidR="00083E12" w:rsidRDefault="00670D5A">
      <w:pPr>
        <w:pStyle w:val="Default"/>
        <w:numPr>
          <w:ilvl w:val="1"/>
          <w:numId w:val="4"/>
        </w:numPr>
        <w:ind w:left="567" w:hanging="567"/>
        <w:jc w:val="both"/>
        <w:rPr>
          <w:lang w:val="uk-UA"/>
        </w:rPr>
      </w:pPr>
      <w:r>
        <w:rPr>
          <w:rFonts w:ascii="Times New Roman" w:hAnsi="Times New Roman" w:cs="Times New Roman"/>
          <w:color w:val="auto"/>
          <w:lang w:val="uk-UA"/>
        </w:rPr>
        <w:t xml:space="preserve">Після отримання конкурсних пропозицій від суб’єктів аудиторської діяльності члени Комітету з питань аудиту Наглядової Ради Товариства, або члени органу Товариства, на який покладено його функції, у разі необхідності, можуть проводити зустрічі з керівниками/представниками аудиторських фірм. На зустрічах з’ясовуються та роз’яснюються питання щодо конкурсних пропозицій, ділової репутації, кваліфікації, досвіду роботи, винагороди тощо. </w:t>
      </w:r>
    </w:p>
    <w:p w:rsidR="00083E12" w:rsidRDefault="00670D5A">
      <w:pPr>
        <w:pStyle w:val="Default"/>
        <w:numPr>
          <w:ilvl w:val="1"/>
          <w:numId w:val="4"/>
        </w:numPr>
        <w:ind w:left="567" w:hanging="567"/>
        <w:jc w:val="both"/>
      </w:pPr>
      <w:r>
        <w:rPr>
          <w:rFonts w:ascii="Times New Roman" w:hAnsi="Times New Roman" w:cs="Times New Roman"/>
          <w:color w:val="auto"/>
          <w:lang w:val="uk-UA"/>
        </w:rPr>
        <w:t>Критерії та методика оцінки конкурсних пропозицій:</w:t>
      </w:r>
    </w:p>
    <w:p w:rsidR="00083E12" w:rsidRDefault="00670D5A">
      <w:pPr>
        <w:pStyle w:val="Default"/>
        <w:numPr>
          <w:ilvl w:val="2"/>
          <w:numId w:val="4"/>
        </w:numPr>
        <w:ind w:left="851" w:hanging="851"/>
        <w:jc w:val="both"/>
        <w:rPr>
          <w:lang w:val="uk-UA"/>
        </w:rPr>
      </w:pPr>
      <w:r>
        <w:rPr>
          <w:rFonts w:ascii="Times New Roman" w:hAnsi="Times New Roman" w:cs="Times New Roman"/>
          <w:color w:val="auto"/>
          <w:lang w:val="uk-UA"/>
        </w:rPr>
        <w:t xml:space="preserve">Комітет з питань аудиту оцінює конкурсні пропозиції, подані суб’єктами аудиторської діяльності, за встановленими критеріями відбору та складає Звіт про висновки процедури відбору. До уваги беруться результати контролю якості послуг, що надаються суб’єктами аудиторської діяльності, які беруть участь у конкурсі, ділова репутація, досвід співпраці з суб’єктами аудиторської діяльності та якість наданих послуг, цінова пропозиція тощо. </w:t>
      </w:r>
    </w:p>
    <w:p w:rsidR="00083E12" w:rsidRDefault="00670D5A">
      <w:pPr>
        <w:pStyle w:val="Default"/>
        <w:numPr>
          <w:ilvl w:val="2"/>
          <w:numId w:val="4"/>
        </w:numPr>
        <w:ind w:left="851" w:hanging="851"/>
        <w:jc w:val="both"/>
      </w:pPr>
      <w:r>
        <w:rPr>
          <w:rFonts w:ascii="Times New Roman" w:hAnsi="Times New Roman" w:cs="Times New Roman"/>
          <w:lang w:val="uk-UA"/>
        </w:rPr>
        <w:t xml:space="preserve">Відбір переможця здійснюється на таких умовах: </w:t>
      </w:r>
    </w:p>
    <w:p w:rsidR="00083E12" w:rsidRDefault="00670D5A">
      <w:pPr>
        <w:pStyle w:val="Default"/>
        <w:numPr>
          <w:ilvl w:val="0"/>
          <w:numId w:val="3"/>
        </w:numPr>
        <w:jc w:val="both"/>
      </w:pPr>
      <w:r>
        <w:rPr>
          <w:rFonts w:ascii="Times New Roman" w:hAnsi="Times New Roman" w:cs="Times New Roman"/>
          <w:color w:val="auto"/>
          <w:lang w:val="uk-UA"/>
        </w:rPr>
        <w:t xml:space="preserve">Комітет з питань аудиту розглядає усі конкурсні пропозиції, подані суб’єктами аудиторської діяльності, та приймає рішення щодо відповідності пропозицій вимогам, зазначеним у Інформаційному повідомлені; </w:t>
      </w:r>
    </w:p>
    <w:p w:rsidR="00083E12" w:rsidRPr="00670D5A" w:rsidRDefault="00670D5A">
      <w:pPr>
        <w:pStyle w:val="Default"/>
        <w:numPr>
          <w:ilvl w:val="0"/>
          <w:numId w:val="3"/>
        </w:numPr>
        <w:jc w:val="both"/>
        <w:rPr>
          <w:lang w:val="uk-UA"/>
        </w:rPr>
      </w:pPr>
      <w:r>
        <w:rPr>
          <w:rFonts w:ascii="Times New Roman" w:hAnsi="Times New Roman" w:cs="Times New Roman"/>
          <w:color w:val="auto"/>
          <w:lang w:val="uk-UA"/>
        </w:rPr>
        <w:t>неналежне оформлення чи подання неповного переліку документів до пропозиції є підставою для дискваліфікації суб’єктів аудиторської діяльності. Пропозиції суб’єктів аудиторської діяльності, що не були відхилені (дискваліфіковані) згідно підстав, визначених у п. 1,8 цього Порядку, розглядаються та оцінюються Комітетом з питань аудиту.</w:t>
      </w:r>
    </w:p>
    <w:p w:rsidR="00083E12" w:rsidRDefault="00670D5A">
      <w:pPr>
        <w:pStyle w:val="Default"/>
        <w:numPr>
          <w:ilvl w:val="0"/>
          <w:numId w:val="3"/>
        </w:numPr>
        <w:jc w:val="both"/>
      </w:pPr>
      <w:r>
        <w:rPr>
          <w:rFonts w:ascii="Times New Roman" w:hAnsi="Times New Roman" w:cs="Times New Roman"/>
          <w:color w:val="auto"/>
          <w:lang w:val="uk-UA"/>
        </w:rPr>
        <w:t xml:space="preserve">Комітет з питань аудиту складає рейтинг аудиторських фірм, які не були дискваліфіковані, за критеріями визначеними у п. 1.8. цього Порядку. </w:t>
      </w:r>
    </w:p>
    <w:p w:rsidR="00083E12" w:rsidRDefault="00670D5A">
      <w:pPr>
        <w:pStyle w:val="Default"/>
        <w:numPr>
          <w:ilvl w:val="1"/>
          <w:numId w:val="4"/>
        </w:numPr>
        <w:ind w:left="567" w:hanging="567"/>
        <w:jc w:val="both"/>
      </w:pPr>
      <w:r>
        <w:rPr>
          <w:rFonts w:ascii="Times New Roman" w:hAnsi="Times New Roman" w:cs="Times New Roman"/>
          <w:color w:val="auto"/>
          <w:lang w:val="uk-UA"/>
        </w:rPr>
        <w:t>Порядок обрання (призначення) суб’єкта аудиторської діяльності:</w:t>
      </w:r>
    </w:p>
    <w:p w:rsidR="00083E12" w:rsidRDefault="00670D5A">
      <w:pPr>
        <w:pStyle w:val="Default"/>
        <w:numPr>
          <w:ilvl w:val="2"/>
          <w:numId w:val="4"/>
        </w:numPr>
        <w:ind w:left="851" w:hanging="851"/>
        <w:jc w:val="both"/>
        <w:rPr>
          <w:lang w:val="uk-UA"/>
        </w:rPr>
      </w:pPr>
      <w:r>
        <w:rPr>
          <w:rFonts w:ascii="Times New Roman" w:hAnsi="Times New Roman" w:cs="Times New Roman"/>
          <w:lang w:val="uk-UA"/>
        </w:rPr>
        <w:t>За результатами оцінювання Комітет з питань аудиту представляє Наглядовій Раді пропозиції щонайменше двох учасників Конкурсу,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Суб’єкт аудиторської діяльності, запропонований Комітетом з питань аудиту, має бути з числа суб’єктів аудиторської діяльності, які брали участь у Конкурсі та відповідають встановленим критеріям відбору та вимогам Закону про аудит.</w:t>
      </w:r>
    </w:p>
    <w:p w:rsidR="00083E12" w:rsidRDefault="00670D5A">
      <w:pPr>
        <w:pStyle w:val="Default"/>
        <w:numPr>
          <w:ilvl w:val="2"/>
          <w:numId w:val="4"/>
        </w:numPr>
        <w:ind w:left="851" w:hanging="851"/>
        <w:jc w:val="both"/>
        <w:rPr>
          <w:lang w:val="uk-UA"/>
        </w:rPr>
      </w:pPr>
      <w:r>
        <w:rPr>
          <w:rFonts w:ascii="Times New Roman" w:hAnsi="Times New Roman" w:cs="Times New Roman"/>
          <w:lang w:val="uk-UA"/>
        </w:rPr>
        <w:t>Рішення про обрання суб’єкта аудиторської діяльності для проведення обов’язкового аудиту фінансової звітності приймається Наглядовою Радою Товариства. Наглядова Рада Товариства визначає аудиторську фірму для проведення зовнішнього аудиту, затверджує умови договору, що укладається з нею (предмет, обсяг аудиторських послуг, розмір і умови оплати послуг, відповідальність сторін, кінцевий строк отримання Товариством аудиторського звіту та інші умови відповідно до вимог законодавства України).</w:t>
      </w:r>
    </w:p>
    <w:p w:rsidR="00083E12" w:rsidRDefault="00670D5A">
      <w:pPr>
        <w:pStyle w:val="Default"/>
        <w:numPr>
          <w:ilvl w:val="2"/>
          <w:numId w:val="4"/>
        </w:numPr>
        <w:ind w:left="851" w:hanging="851"/>
        <w:jc w:val="both"/>
        <w:rPr>
          <w:lang w:val="uk-UA"/>
        </w:rPr>
      </w:pPr>
      <w:r>
        <w:rPr>
          <w:rFonts w:ascii="Times New Roman" w:hAnsi="Times New Roman" w:cs="Times New Roman"/>
          <w:lang w:val="uk-UA"/>
        </w:rPr>
        <w:t>Результати конкурсу оприлюднюються на офіційному сайті Товариства після обрання аудиторської фірми Наглядовою Радою Товариства та до моменту укладення договору надається повідомлення до Національної комісії з цінних паперів та фондового ринку про суб’єкта аудиторської діяльності, який надаватиме послуги з аудиту фінансової звітності.</w:t>
      </w:r>
    </w:p>
    <w:p w:rsidR="00083E12" w:rsidRDefault="00670D5A">
      <w:pPr>
        <w:pStyle w:val="Default"/>
        <w:numPr>
          <w:ilvl w:val="1"/>
          <w:numId w:val="4"/>
        </w:numPr>
        <w:ind w:left="567" w:hanging="567"/>
        <w:jc w:val="both"/>
      </w:pPr>
      <w:r>
        <w:rPr>
          <w:rFonts w:ascii="Times New Roman" w:hAnsi="Times New Roman" w:cs="Times New Roman"/>
          <w:color w:val="auto"/>
          <w:lang w:val="uk-UA"/>
        </w:rPr>
        <w:t>Підстави для відхилення Товариством аудиторської фірми</w:t>
      </w:r>
      <w:r>
        <w:rPr>
          <w:rFonts w:ascii="Times New Roman" w:hAnsi="Times New Roman" w:cs="Times New Roman"/>
          <w:color w:val="auto"/>
        </w:rPr>
        <w:t xml:space="preserve"> </w:t>
      </w:r>
      <w:r>
        <w:rPr>
          <w:rFonts w:ascii="Times New Roman" w:hAnsi="Times New Roman" w:cs="Times New Roman"/>
          <w:color w:val="auto"/>
          <w:lang w:val="uk-UA"/>
        </w:rPr>
        <w:t xml:space="preserve">в Конкурсі: </w:t>
      </w:r>
    </w:p>
    <w:p w:rsidR="00083E12" w:rsidRDefault="00670D5A">
      <w:pPr>
        <w:pStyle w:val="Default"/>
        <w:numPr>
          <w:ilvl w:val="2"/>
          <w:numId w:val="4"/>
        </w:numPr>
        <w:ind w:left="851" w:hanging="851"/>
        <w:jc w:val="both"/>
      </w:pPr>
      <w:r>
        <w:rPr>
          <w:rFonts w:ascii="Times New Roman" w:hAnsi="Times New Roman" w:cs="Times New Roman"/>
          <w:lang w:val="uk-UA"/>
        </w:rPr>
        <w:t xml:space="preserve">Товариство може не допустити до участі у Конкурсі учасників у разі: </w:t>
      </w:r>
    </w:p>
    <w:p w:rsidR="00083E12" w:rsidRDefault="00670D5A">
      <w:pPr>
        <w:pStyle w:val="Default"/>
        <w:numPr>
          <w:ilvl w:val="0"/>
          <w:numId w:val="3"/>
        </w:numPr>
        <w:jc w:val="both"/>
      </w:pPr>
      <w:r>
        <w:rPr>
          <w:rFonts w:ascii="Times New Roman" w:hAnsi="Times New Roman" w:cs="Times New Roman"/>
          <w:color w:val="auto"/>
          <w:lang w:val="uk-UA"/>
        </w:rPr>
        <w:t xml:space="preserve">невідповідності вимогам Закону про аудит; </w:t>
      </w:r>
    </w:p>
    <w:p w:rsidR="00083E12" w:rsidRDefault="00670D5A">
      <w:pPr>
        <w:pStyle w:val="Default"/>
        <w:numPr>
          <w:ilvl w:val="0"/>
          <w:numId w:val="3"/>
        </w:numPr>
        <w:jc w:val="both"/>
      </w:pPr>
      <w:r>
        <w:rPr>
          <w:rFonts w:ascii="Times New Roman" w:hAnsi="Times New Roman" w:cs="Times New Roman"/>
          <w:color w:val="auto"/>
          <w:lang w:val="uk-UA"/>
        </w:rPr>
        <w:lastRenderedPageBreak/>
        <w:t>надання неповного пакету документів, або недостовірної інформації;</w:t>
      </w:r>
    </w:p>
    <w:p w:rsidR="00083E12" w:rsidRDefault="00670D5A">
      <w:pPr>
        <w:pStyle w:val="Default"/>
        <w:numPr>
          <w:ilvl w:val="0"/>
          <w:numId w:val="3"/>
        </w:numPr>
        <w:jc w:val="both"/>
      </w:pPr>
      <w:r>
        <w:rPr>
          <w:rFonts w:ascii="Times New Roman" w:hAnsi="Times New Roman" w:cs="Times New Roman"/>
          <w:color w:val="auto"/>
          <w:lang w:val="uk-UA"/>
        </w:rPr>
        <w:t xml:space="preserve">конкурсна пропозиція надана після кінцевого строку подачі. </w:t>
      </w:r>
    </w:p>
    <w:p w:rsidR="00083E12" w:rsidRDefault="00670D5A">
      <w:pPr>
        <w:pStyle w:val="1"/>
        <w:numPr>
          <w:ilvl w:val="0"/>
          <w:numId w:val="1"/>
        </w:numPr>
        <w:jc w:val="center"/>
      </w:pPr>
      <w:r>
        <w:rPr>
          <w:rFonts w:ascii="Times New Roman" w:hAnsi="Times New Roman"/>
          <w:color w:val="auto"/>
          <w:sz w:val="24"/>
          <w:szCs w:val="24"/>
          <w:lang w:val="uk-UA"/>
        </w:rPr>
        <w:t>СИСТЕМА ВНУТРІШНЬОГО КОНТРОЛЮ ТА ЗВІТНОСТІ</w:t>
      </w:r>
    </w:p>
    <w:p w:rsidR="00083E12" w:rsidRDefault="00083E12">
      <w:pPr>
        <w:jc w:val="center"/>
        <w:rPr>
          <w:rFonts w:ascii="Times New Roman" w:hAnsi="Times New Roman"/>
          <w:sz w:val="24"/>
          <w:szCs w:val="24"/>
          <w:lang w:val="uk-UA"/>
        </w:rPr>
      </w:pPr>
    </w:p>
    <w:p w:rsidR="00083E12" w:rsidRDefault="00670D5A">
      <w:pPr>
        <w:pStyle w:val="Default"/>
        <w:numPr>
          <w:ilvl w:val="1"/>
          <w:numId w:val="4"/>
        </w:numPr>
        <w:tabs>
          <w:tab w:val="left" w:pos="993"/>
        </w:tabs>
        <w:spacing w:before="120" w:after="200"/>
        <w:ind w:left="567" w:hanging="567"/>
        <w:jc w:val="both"/>
      </w:pPr>
      <w:r>
        <w:rPr>
          <w:rFonts w:ascii="Times New Roman" w:hAnsi="Times New Roman" w:cs="Times New Roman"/>
          <w:color w:val="auto"/>
          <w:lang w:val="uk-UA"/>
        </w:rPr>
        <w:t xml:space="preserve">Відповідальність за організацію та забезпечення виконання вимог цього Порядку покладено на штат Головного бухгалтера, який є власником процесу. </w:t>
      </w:r>
    </w:p>
    <w:p w:rsidR="00083E12" w:rsidRDefault="00670D5A">
      <w:pPr>
        <w:pStyle w:val="Default"/>
        <w:numPr>
          <w:ilvl w:val="1"/>
          <w:numId w:val="4"/>
        </w:numPr>
        <w:tabs>
          <w:tab w:val="left" w:pos="993"/>
        </w:tabs>
        <w:ind w:left="567" w:hanging="567"/>
        <w:jc w:val="both"/>
      </w:pPr>
      <w:r>
        <w:rPr>
          <w:rFonts w:ascii="Times New Roman" w:hAnsi="Times New Roman" w:cs="Times New Roman"/>
          <w:color w:val="auto"/>
          <w:lang w:val="uk-UA"/>
        </w:rPr>
        <w:t>Відповідальність за контроль виконання вимог цього Порядку та результату процесу покладається на Комітет Наглядової Ради з питань аудиту, або орган Товариства, на який покладено його функції</w:t>
      </w:r>
    </w:p>
    <w:p w:rsidR="00083E12" w:rsidRDefault="00670D5A">
      <w:pPr>
        <w:pStyle w:val="1"/>
        <w:numPr>
          <w:ilvl w:val="0"/>
          <w:numId w:val="1"/>
        </w:numPr>
        <w:spacing w:before="360"/>
        <w:ind w:left="714" w:hanging="357"/>
        <w:jc w:val="center"/>
      </w:pPr>
      <w:r>
        <w:rPr>
          <w:rFonts w:ascii="Times New Roman" w:hAnsi="Times New Roman"/>
          <w:color w:val="auto"/>
          <w:sz w:val="24"/>
          <w:szCs w:val="24"/>
          <w:lang w:val="uk-UA"/>
        </w:rPr>
        <w:t>ЗАКЛЮЧНІ ПОЛОЖЕННЯ</w:t>
      </w:r>
    </w:p>
    <w:p w:rsidR="00083E12" w:rsidRDefault="00083E12">
      <w:pPr>
        <w:spacing w:before="360" w:after="0"/>
        <w:ind w:left="714" w:hanging="357"/>
        <w:jc w:val="center"/>
        <w:rPr>
          <w:rFonts w:ascii="Times New Roman" w:hAnsi="Times New Roman"/>
          <w:sz w:val="24"/>
          <w:szCs w:val="24"/>
          <w:lang w:val="uk-UA"/>
        </w:rPr>
      </w:pP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Цей Порядок набирає чинності з дати його затвердження Наглядовою Радою Товариства та діє до його скасування або прийняття нового Порядку, яке регулює аналогічні питання.</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Зміни та доповнення до цього Порядку вносяться тільки за умови затвердження їх рішенням Наглядової Ради Товариства.</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Зміни та доповнення до цього Порядку оформлюються окремим документом, або шляхом його викладення у новій редакції. Прийняття нової редакції Порядку автоматично призводить до припинення дії попередньої.</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В процесі удосконалення законодавчих та нормативних актів, до цього Порядку можуть бути внесені відповідні зміни та доповнення. Такі зміни та доповнення набирають чинності з моменту їх затвердження рішенням Наглядової Ради Товариства.</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У разі невідповідності будь-якої частини цього Порядку законодавству України, у тому числі в разі прийняття нових нормативно-правових актів або удосконалення існуючих, цей Порядок буде діяти лише в тій частині, що не суперечитиме законодавству України.</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Усі питання, не врегульовані цим Порядком, вирішуються у формах, що не суперечать здоровому глузду за домовленістю задіяних у реалізації Порядку підрозділів Товариства та/або в порядку, передбаченому іншими внутрішніми нормативними документами Товариства та на підставі законодавства України.</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Цей Порядок переглядається у міру необхідності, але не рідше 1 (одного) разу на рік.</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Порядок публікується у формі, яка не може бути змінена, але до якої має вільний доступ відповідний читач. Документ зберігається і надається таким чином, щоб бути доступним для працівників Товариства, які надалі будуть мати право користуватися ним.</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Відповідальність за актуалізацію цього Порядку покладається на штат Головного бухгалтера.</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Пропозиції щодо змін та доповнень до цього Порядку підрозділи Товариства направляють на адресу Головного бухгалтера.</w:t>
      </w:r>
    </w:p>
    <w:p w:rsidR="00083E12" w:rsidRDefault="00670D5A">
      <w:pPr>
        <w:pStyle w:val="16"/>
        <w:numPr>
          <w:ilvl w:val="1"/>
          <w:numId w:val="4"/>
        </w:numPr>
        <w:spacing w:after="0" w:line="240" w:lineRule="auto"/>
        <w:ind w:left="567" w:hanging="567"/>
        <w:jc w:val="both"/>
      </w:pPr>
      <w:r>
        <w:rPr>
          <w:rFonts w:ascii="Times New Roman" w:hAnsi="Times New Roman" w:cs="Times New Roman"/>
          <w:sz w:val="24"/>
          <w:szCs w:val="24"/>
          <w:lang w:val="uk-UA"/>
        </w:rPr>
        <w:t>За консультаціями щодо цього Порядку працівники Товариства мають звертатися до Головного бухгалтера.</w:t>
      </w:r>
    </w:p>
    <w:p w:rsidR="00670D5A" w:rsidRPr="00670D5A" w:rsidRDefault="00670D5A">
      <w:pPr>
        <w:pStyle w:val="1"/>
        <w:numPr>
          <w:ilvl w:val="0"/>
          <w:numId w:val="1"/>
        </w:numPr>
        <w:jc w:val="center"/>
      </w:pPr>
      <w:bookmarkStart w:id="2" w:name="_%2525252525D0%252525252594%2525252525D0"/>
      <w:bookmarkEnd w:id="2"/>
    </w:p>
    <w:p w:rsidR="00083E12" w:rsidRDefault="00670D5A">
      <w:pPr>
        <w:pStyle w:val="1"/>
        <w:numPr>
          <w:ilvl w:val="0"/>
          <w:numId w:val="1"/>
        </w:numPr>
        <w:jc w:val="center"/>
      </w:pPr>
      <w:r>
        <w:rPr>
          <w:rFonts w:ascii="Times New Roman" w:hAnsi="Times New Roman"/>
          <w:color w:val="auto"/>
          <w:sz w:val="24"/>
          <w:szCs w:val="24"/>
          <w:lang w:val="uk-UA"/>
        </w:rPr>
        <w:t>ДОДАТКИ</w:t>
      </w:r>
    </w:p>
    <w:p w:rsidR="00083E12" w:rsidRDefault="00083E12">
      <w:pPr>
        <w:jc w:val="center"/>
        <w:rPr>
          <w:rFonts w:ascii="Times New Roman" w:hAnsi="Times New Roman"/>
          <w:sz w:val="24"/>
          <w:szCs w:val="24"/>
          <w:lang w:val="uk-UA"/>
        </w:rPr>
      </w:pPr>
    </w:p>
    <w:p w:rsidR="00083E12" w:rsidRPr="00670D5A" w:rsidRDefault="00670D5A">
      <w:pPr>
        <w:spacing w:after="0" w:line="240" w:lineRule="auto"/>
        <w:ind w:left="1418" w:hanging="1418"/>
        <w:jc w:val="both"/>
        <w:rPr>
          <w:lang w:val="uk-UA"/>
        </w:rPr>
      </w:pPr>
      <w:r>
        <w:rPr>
          <w:rFonts w:ascii="Times New Roman" w:hAnsi="Times New Roman" w:cs="Times New Roman"/>
          <w:sz w:val="24"/>
          <w:szCs w:val="24"/>
          <w:lang w:val="uk-UA"/>
        </w:rPr>
        <w:t xml:space="preserve">Додаток 1 – </w:t>
      </w:r>
      <w:r>
        <w:rPr>
          <w:rFonts w:ascii="Times New Roman" w:hAnsi="Times New Roman" w:cs="Times New Roman"/>
          <w:b/>
          <w:bCs/>
          <w:sz w:val="24"/>
          <w:szCs w:val="24"/>
          <w:lang w:val="uk-UA"/>
        </w:rPr>
        <w:t>Інформаційне повідомлення про проведення Конкурсу</w:t>
      </w:r>
      <w:r>
        <w:rPr>
          <w:rFonts w:ascii="Times New Roman" w:hAnsi="Times New Roman" w:cs="Times New Roman"/>
          <w:bCs/>
          <w:sz w:val="24"/>
          <w:szCs w:val="24"/>
          <w:lang w:val="uk-UA"/>
        </w:rPr>
        <w:t xml:space="preserve"> з відбору суб’єкта аудиторської діяльності, який може бути обраний для надання послуг з обов’язкового аудиту фінансової звітності АТ «ЛУГАНСЬКГАЗ».</w:t>
      </w:r>
      <w:r>
        <w:rPr>
          <w:rFonts w:ascii="Times New Roman" w:hAnsi="Times New Roman" w:cs="Times New Roman"/>
          <w:sz w:val="24"/>
          <w:szCs w:val="24"/>
          <w:lang w:val="uk-UA"/>
        </w:rPr>
        <w:t xml:space="preserve"> </w:t>
      </w:r>
    </w:p>
    <w:p w:rsidR="00083E12" w:rsidRDefault="00670D5A">
      <w:pPr>
        <w:spacing w:after="0"/>
        <w:ind w:left="1418" w:hanging="1418"/>
      </w:pPr>
      <w:r>
        <w:rPr>
          <w:rFonts w:ascii="Times New Roman" w:hAnsi="Times New Roman" w:cs="Times New Roman"/>
          <w:sz w:val="24"/>
          <w:szCs w:val="24"/>
          <w:lang w:val="uk-UA"/>
        </w:rPr>
        <w:t xml:space="preserve">Додаток 2 - </w:t>
      </w:r>
      <w:r>
        <w:rPr>
          <w:rFonts w:ascii="Times New Roman" w:hAnsi="Times New Roman" w:cs="Times New Roman"/>
          <w:b/>
          <w:bCs/>
          <w:sz w:val="24"/>
          <w:szCs w:val="24"/>
          <w:lang w:val="uk-UA"/>
        </w:rPr>
        <w:t>Інформація про аудиторську фірму.</w:t>
      </w:r>
    </w:p>
    <w:p w:rsidR="00083E12" w:rsidRDefault="00670D5A">
      <w:pPr>
        <w:spacing w:after="0"/>
        <w:ind w:left="1418" w:hanging="1418"/>
      </w:pPr>
      <w:r>
        <w:rPr>
          <w:rFonts w:ascii="Times New Roman" w:hAnsi="Times New Roman" w:cs="Times New Roman"/>
          <w:sz w:val="24"/>
          <w:szCs w:val="24"/>
          <w:lang w:val="uk-UA"/>
        </w:rPr>
        <w:t xml:space="preserve">Додаток 3 – </w:t>
      </w:r>
      <w:r>
        <w:rPr>
          <w:rFonts w:ascii="Times New Roman" w:hAnsi="Times New Roman" w:cs="Times New Roman"/>
          <w:b/>
          <w:sz w:val="24"/>
          <w:szCs w:val="24"/>
          <w:lang w:val="uk-UA"/>
        </w:rPr>
        <w:t>Анкета аудиторської фірми.</w:t>
      </w:r>
    </w:p>
    <w:p w:rsidR="00083E12" w:rsidRDefault="00083E12">
      <w:pPr>
        <w:rPr>
          <w:rFonts w:ascii="Times New Roman" w:hAnsi="Times New Roman" w:cs="Times New Roman"/>
          <w:b/>
          <w:sz w:val="24"/>
          <w:szCs w:val="24"/>
          <w:lang w:val="uk-UA"/>
        </w:rPr>
      </w:pPr>
    </w:p>
    <w:p w:rsidR="00083E12" w:rsidRDefault="00083E12">
      <w:pPr>
        <w:rPr>
          <w:rFonts w:ascii="Times New Roman" w:hAnsi="Times New Roman" w:cs="Times New Roman"/>
          <w:b/>
          <w:sz w:val="24"/>
          <w:szCs w:val="24"/>
          <w:lang w:val="uk-UA"/>
        </w:rPr>
      </w:pPr>
    </w:p>
    <w:p w:rsidR="00083E12" w:rsidRDefault="00670D5A">
      <w:pPr>
        <w:pStyle w:val="western"/>
        <w:spacing w:after="0"/>
      </w:pPr>
      <w:r>
        <w:rPr>
          <w:b/>
          <w:bCs/>
          <w:sz w:val="24"/>
          <w:szCs w:val="24"/>
          <w:lang w:val="uk-UA"/>
        </w:rPr>
        <w:t xml:space="preserve">Голова Наглядової Ради </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Е.А. Швидкий</w:t>
      </w:r>
    </w:p>
    <w:p w:rsidR="00083E12" w:rsidRDefault="00083E12">
      <w:pPr>
        <w:pStyle w:val="western"/>
        <w:spacing w:after="0"/>
      </w:pPr>
    </w:p>
    <w:p w:rsidR="00083E12" w:rsidRDefault="00670D5A">
      <w:pPr>
        <w:pStyle w:val="western"/>
        <w:spacing w:after="0"/>
      </w:pPr>
      <w:r>
        <w:rPr>
          <w:b/>
          <w:bCs/>
          <w:sz w:val="24"/>
          <w:szCs w:val="24"/>
          <w:lang w:val="uk-UA"/>
        </w:rPr>
        <w:t xml:space="preserve">Секретар Наглядової Ради </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А.М. Андрєєв </w:t>
      </w:r>
    </w:p>
    <w:p w:rsidR="00083E12" w:rsidRDefault="00083E12"/>
    <w:sectPr w:rsidR="00083E12">
      <w:pgSz w:w="11906" w:h="16838"/>
      <w:pgMar w:top="1361" w:right="697" w:bottom="993" w:left="16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29C"/>
    <w:multiLevelType w:val="multilevel"/>
    <w:tmpl w:val="5A4EC32E"/>
    <w:lvl w:ilvl="0">
      <w:start w:val="1"/>
      <w:numFmt w:val="bullet"/>
      <w:lvlText w:val=""/>
      <w:lvlJc w:val="left"/>
      <w:pPr>
        <w:ind w:left="720" w:hanging="360"/>
      </w:pPr>
      <w:rPr>
        <w:rFonts w:ascii="Wingdings" w:hAnsi="Wingdings" w:cs="Wingdings" w:hint="default"/>
        <w:color w:val="auto"/>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742CDF"/>
    <w:multiLevelType w:val="multilevel"/>
    <w:tmpl w:val="3D485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9EB4EE9"/>
    <w:multiLevelType w:val="multilevel"/>
    <w:tmpl w:val="F05E060C"/>
    <w:lvl w:ilvl="0">
      <w:start w:val="1"/>
      <w:numFmt w:val="bullet"/>
      <w:lvlText w:val=""/>
      <w:lvlJc w:val="left"/>
      <w:pPr>
        <w:ind w:left="1004" w:hanging="360"/>
      </w:pPr>
      <w:rPr>
        <w:rFonts w:ascii="Wingdings" w:hAnsi="Wingdings" w:cs="Wingdings" w:hint="default"/>
        <w:color w:val="auto"/>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096740"/>
    <w:multiLevelType w:val="multilevel"/>
    <w:tmpl w:val="7B9A60E6"/>
    <w:lvl w:ilvl="0">
      <w:start w:val="1"/>
      <w:numFmt w:val="decimal"/>
      <w:lvlText w:val="%1."/>
      <w:lvlJc w:val="left"/>
      <w:pPr>
        <w:ind w:left="720" w:hanging="360"/>
      </w:pPr>
      <w:rPr>
        <w:b/>
        <w:sz w:val="20"/>
        <w:szCs w:val="20"/>
      </w:rPr>
    </w:lvl>
    <w:lvl w:ilvl="1">
      <w:start w:val="1"/>
      <w:numFmt w:val="decimal"/>
      <w:lvlText w:val="%1.%2."/>
      <w:lvlJc w:val="left"/>
      <w:pPr>
        <w:ind w:left="1713" w:hanging="720"/>
      </w:pPr>
      <w:rPr>
        <w:rFonts w:cs="Times New Roman"/>
        <w:b w:val="0"/>
        <w:color w:val="auto"/>
        <w:sz w:val="24"/>
        <w:szCs w:val="24"/>
        <w:lang w:val="uk-UA"/>
      </w:rPr>
    </w:lvl>
    <w:lvl w:ilvl="2">
      <w:start w:val="1"/>
      <w:numFmt w:val="decimal"/>
      <w:lvlText w:val="%1.%2.%3."/>
      <w:lvlJc w:val="left"/>
      <w:pPr>
        <w:ind w:left="1080" w:hanging="720"/>
      </w:pPr>
      <w:rPr>
        <w:rFonts w:cs="Times New Roman"/>
        <w:b w:val="0"/>
        <w:color w:val="auto"/>
        <w:sz w:val="24"/>
        <w:szCs w:val="24"/>
        <w:lang w:val="uk-UA"/>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4">
    <w:nsid w:val="68387F31"/>
    <w:multiLevelType w:val="multilevel"/>
    <w:tmpl w:val="BEF41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2"/>
    <w:rsid w:val="00083E12"/>
    <w:rsid w:val="001C629E"/>
    <w:rsid w:val="00670D5A"/>
    <w:rsid w:val="0097673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ru-RU" w:eastAsia="zh-CN"/>
    </w:rPr>
  </w:style>
  <w:style w:type="paragraph" w:styleId="1">
    <w:name w:val="heading 1"/>
    <w:basedOn w:val="a"/>
    <w:next w:val="a"/>
    <w:qFormat/>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color w:val="auto"/>
      <w:lang w:val="uk-UA"/>
    </w:rPr>
  </w:style>
  <w:style w:type="character" w:customStyle="1" w:styleId="WW8Num3z0">
    <w:name w:val="WW8Num3z0"/>
    <w:qFormat/>
    <w:rPr>
      <w:rFonts w:ascii="Wingdings" w:hAnsi="Wingdings" w:cs="Wingdings"/>
      <w:color w:val="auto"/>
      <w:lang w:val="uk-UA"/>
    </w:rPr>
  </w:style>
  <w:style w:type="character" w:customStyle="1" w:styleId="WW8Num4z0">
    <w:name w:val="WW8Num4z0"/>
    <w:qFormat/>
    <w:rPr>
      <w:b/>
      <w:sz w:val="20"/>
      <w:szCs w:val="20"/>
    </w:rPr>
  </w:style>
  <w:style w:type="character" w:customStyle="1" w:styleId="WW8Num4z1">
    <w:name w:val="WW8Num4z1"/>
    <w:qFormat/>
    <w:rPr>
      <w:rFonts w:ascii="Times New Roman" w:hAnsi="Times New Roman" w:cs="Times New Roman"/>
      <w:b w:val="0"/>
      <w:color w:val="auto"/>
      <w:sz w:val="24"/>
      <w:szCs w:val="24"/>
      <w:lang w:val="uk-UA"/>
    </w:rPr>
  </w:style>
  <w:style w:type="character" w:customStyle="1" w:styleId="WW8Num4z3">
    <w:name w:val="WW8Num4z3"/>
    <w:qFormat/>
    <w:rPr>
      <w:b/>
    </w:rPr>
  </w:style>
  <w:style w:type="character" w:customStyle="1" w:styleId="10">
    <w:name w:val="Основной шрифт абзаца1"/>
    <w:qFormat/>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1">
    <w:name w:val="WW8Num3z1"/>
    <w:qFormat/>
    <w:rPr>
      <w:rFonts w:ascii="Times New Roman" w:hAnsi="Times New Roman" w:cs="Times New Roman"/>
      <w:b w:val="0"/>
      <w:sz w:val="24"/>
      <w:szCs w:val="24"/>
      <w:lang w:val="uk-UA"/>
    </w:rPr>
  </w:style>
  <w:style w:type="character" w:customStyle="1" w:styleId="WW8Num3z3">
    <w:name w:val="WW8Num3z3"/>
    <w:qFormat/>
    <w:rPr>
      <w:b/>
    </w:rPr>
  </w:style>
  <w:style w:type="character" w:customStyle="1" w:styleId="11">
    <w:name w:val="Основной шрифт абзаца1"/>
    <w:qFormat/>
  </w:style>
  <w:style w:type="character" w:customStyle="1" w:styleId="12">
    <w:name w:val="Заголовок 1 Знак"/>
    <w:qFormat/>
    <w:rPr>
      <w:rFonts w:ascii="Cambria" w:eastAsia="Times New Roman" w:hAnsi="Cambria" w:cs="Times New Roman"/>
      <w:b/>
      <w:bCs/>
      <w:color w:val="365F91"/>
      <w:sz w:val="28"/>
      <w:szCs w:val="28"/>
    </w:rPr>
  </w:style>
  <w:style w:type="character" w:customStyle="1" w:styleId="a3">
    <w:name w:val="Абзац списка Знак"/>
    <w:basedOn w:val="11"/>
    <w:qFormat/>
  </w:style>
  <w:style w:type="character" w:customStyle="1" w:styleId="a4">
    <w:name w:val="Текст у виносці Знак"/>
    <w:basedOn w:val="a0"/>
    <w:uiPriority w:val="99"/>
    <w:semiHidden/>
    <w:qFormat/>
    <w:rsid w:val="007B1911"/>
    <w:rPr>
      <w:rFonts w:ascii="Segoe UI" w:eastAsia="Calibri" w:hAnsi="Segoe UI" w:cs="Segoe UI"/>
      <w:sz w:val="18"/>
      <w:szCs w:val="18"/>
      <w:lang w:val="ru-RU" w:eastAsia="zh-CN"/>
    </w:rPr>
  </w:style>
  <w:style w:type="character" w:styleId="a5">
    <w:name w:val="annotation reference"/>
    <w:basedOn w:val="a0"/>
    <w:uiPriority w:val="99"/>
    <w:semiHidden/>
    <w:unhideWhenUsed/>
    <w:qFormat/>
    <w:rsid w:val="007B1911"/>
    <w:rPr>
      <w:sz w:val="16"/>
      <w:szCs w:val="16"/>
    </w:rPr>
  </w:style>
  <w:style w:type="character" w:customStyle="1" w:styleId="a6">
    <w:name w:val="Текст примітки Знак"/>
    <w:basedOn w:val="a0"/>
    <w:uiPriority w:val="99"/>
    <w:semiHidden/>
    <w:qFormat/>
    <w:rsid w:val="007B1911"/>
    <w:rPr>
      <w:rFonts w:ascii="Calibri" w:eastAsia="Calibri" w:hAnsi="Calibri" w:cs="Calibri"/>
      <w:lang w:val="ru-RU" w:eastAsia="zh-CN"/>
    </w:rPr>
  </w:style>
  <w:style w:type="character" w:customStyle="1" w:styleId="a7">
    <w:name w:val="Тема примітки Знак"/>
    <w:basedOn w:val="a6"/>
    <w:uiPriority w:val="99"/>
    <w:semiHidden/>
    <w:qFormat/>
    <w:rsid w:val="007B1911"/>
    <w:rPr>
      <w:rFonts w:ascii="Calibri" w:eastAsia="Calibri" w:hAnsi="Calibri" w:cs="Calibri"/>
      <w:b/>
      <w:bCs/>
      <w:lang w:val="ru-RU" w:eastAsia="zh-CN"/>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13">
    <w:name w:val="Указатель1"/>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sz w:val="24"/>
      <w:szCs w:val="24"/>
    </w:rPr>
  </w:style>
  <w:style w:type="paragraph" w:customStyle="1" w:styleId="15">
    <w:name w:val="Указатель1"/>
    <w:basedOn w:val="a"/>
    <w:qFormat/>
    <w:pPr>
      <w:suppressLineNumbers/>
    </w:pPr>
    <w:rPr>
      <w:rFonts w:cs="Mangal"/>
    </w:rPr>
  </w:style>
  <w:style w:type="paragraph" w:customStyle="1" w:styleId="Default">
    <w:name w:val="Default"/>
    <w:qFormat/>
    <w:pPr>
      <w:suppressAutoHyphens/>
    </w:pPr>
    <w:rPr>
      <w:rFonts w:ascii="Tahoma" w:eastAsia="Calibri" w:hAnsi="Tahoma" w:cs="Tahoma"/>
      <w:color w:val="000000"/>
      <w:sz w:val="24"/>
      <w:szCs w:val="24"/>
      <w:lang w:val="ru-RU" w:eastAsia="zh-CN"/>
    </w:rPr>
  </w:style>
  <w:style w:type="paragraph" w:customStyle="1" w:styleId="16">
    <w:name w:val="Абзац списка1"/>
    <w:basedOn w:val="a"/>
    <w:qFormat/>
    <w:pPr>
      <w:ind w:left="720"/>
      <w:contextualSpacing/>
    </w:pPr>
  </w:style>
  <w:style w:type="paragraph" w:customStyle="1" w:styleId="western">
    <w:name w:val="western"/>
    <w:basedOn w:val="a"/>
    <w:qFormat/>
    <w:pPr>
      <w:spacing w:before="280" w:after="119" w:line="240" w:lineRule="auto"/>
    </w:pPr>
    <w:rPr>
      <w:rFonts w:ascii="Times New Roman" w:eastAsia="Times New Roman" w:hAnsi="Times New Roman" w:cs="Times New Roman"/>
      <w:color w:val="000000"/>
      <w:sz w:val="20"/>
      <w:szCs w:val="20"/>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styleId="ae">
    <w:name w:val="Balloon Text"/>
    <w:basedOn w:val="a"/>
    <w:uiPriority w:val="99"/>
    <w:semiHidden/>
    <w:unhideWhenUsed/>
    <w:qFormat/>
    <w:rsid w:val="007B1911"/>
    <w:pPr>
      <w:spacing w:after="0" w:line="240" w:lineRule="auto"/>
    </w:pPr>
    <w:rPr>
      <w:rFonts w:ascii="Segoe UI" w:hAnsi="Segoe UI" w:cs="Segoe UI"/>
      <w:sz w:val="18"/>
      <w:szCs w:val="18"/>
    </w:rPr>
  </w:style>
  <w:style w:type="paragraph" w:styleId="af">
    <w:name w:val="annotation text"/>
    <w:basedOn w:val="a"/>
    <w:uiPriority w:val="99"/>
    <w:semiHidden/>
    <w:unhideWhenUsed/>
    <w:qFormat/>
    <w:rsid w:val="007B1911"/>
    <w:pPr>
      <w:spacing w:line="240" w:lineRule="auto"/>
    </w:pPr>
    <w:rPr>
      <w:sz w:val="20"/>
      <w:szCs w:val="20"/>
    </w:rPr>
  </w:style>
  <w:style w:type="paragraph" w:styleId="af0">
    <w:name w:val="annotation subject"/>
    <w:basedOn w:val="af"/>
    <w:next w:val="af"/>
    <w:uiPriority w:val="99"/>
    <w:semiHidden/>
    <w:unhideWhenUsed/>
    <w:qFormat/>
    <w:rsid w:val="007B1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ru-RU" w:eastAsia="zh-CN"/>
    </w:rPr>
  </w:style>
  <w:style w:type="paragraph" w:styleId="1">
    <w:name w:val="heading 1"/>
    <w:basedOn w:val="a"/>
    <w:next w:val="a"/>
    <w:qFormat/>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color w:val="auto"/>
      <w:lang w:val="uk-UA"/>
    </w:rPr>
  </w:style>
  <w:style w:type="character" w:customStyle="1" w:styleId="WW8Num3z0">
    <w:name w:val="WW8Num3z0"/>
    <w:qFormat/>
    <w:rPr>
      <w:rFonts w:ascii="Wingdings" w:hAnsi="Wingdings" w:cs="Wingdings"/>
      <w:color w:val="auto"/>
      <w:lang w:val="uk-UA"/>
    </w:rPr>
  </w:style>
  <w:style w:type="character" w:customStyle="1" w:styleId="WW8Num4z0">
    <w:name w:val="WW8Num4z0"/>
    <w:qFormat/>
    <w:rPr>
      <w:b/>
      <w:sz w:val="20"/>
      <w:szCs w:val="20"/>
    </w:rPr>
  </w:style>
  <w:style w:type="character" w:customStyle="1" w:styleId="WW8Num4z1">
    <w:name w:val="WW8Num4z1"/>
    <w:qFormat/>
    <w:rPr>
      <w:rFonts w:ascii="Times New Roman" w:hAnsi="Times New Roman" w:cs="Times New Roman"/>
      <w:b w:val="0"/>
      <w:color w:val="auto"/>
      <w:sz w:val="24"/>
      <w:szCs w:val="24"/>
      <w:lang w:val="uk-UA"/>
    </w:rPr>
  </w:style>
  <w:style w:type="character" w:customStyle="1" w:styleId="WW8Num4z3">
    <w:name w:val="WW8Num4z3"/>
    <w:qFormat/>
    <w:rPr>
      <w:b/>
    </w:rPr>
  </w:style>
  <w:style w:type="character" w:customStyle="1" w:styleId="10">
    <w:name w:val="Основной шрифт абзаца1"/>
    <w:qFormat/>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1">
    <w:name w:val="WW8Num3z1"/>
    <w:qFormat/>
    <w:rPr>
      <w:rFonts w:ascii="Times New Roman" w:hAnsi="Times New Roman" w:cs="Times New Roman"/>
      <w:b w:val="0"/>
      <w:sz w:val="24"/>
      <w:szCs w:val="24"/>
      <w:lang w:val="uk-UA"/>
    </w:rPr>
  </w:style>
  <w:style w:type="character" w:customStyle="1" w:styleId="WW8Num3z3">
    <w:name w:val="WW8Num3z3"/>
    <w:qFormat/>
    <w:rPr>
      <w:b/>
    </w:rPr>
  </w:style>
  <w:style w:type="character" w:customStyle="1" w:styleId="11">
    <w:name w:val="Основной шрифт абзаца1"/>
    <w:qFormat/>
  </w:style>
  <w:style w:type="character" w:customStyle="1" w:styleId="12">
    <w:name w:val="Заголовок 1 Знак"/>
    <w:qFormat/>
    <w:rPr>
      <w:rFonts w:ascii="Cambria" w:eastAsia="Times New Roman" w:hAnsi="Cambria" w:cs="Times New Roman"/>
      <w:b/>
      <w:bCs/>
      <w:color w:val="365F91"/>
      <w:sz w:val="28"/>
      <w:szCs w:val="28"/>
    </w:rPr>
  </w:style>
  <w:style w:type="character" w:customStyle="1" w:styleId="a3">
    <w:name w:val="Абзац списка Знак"/>
    <w:basedOn w:val="11"/>
    <w:qFormat/>
  </w:style>
  <w:style w:type="character" w:customStyle="1" w:styleId="a4">
    <w:name w:val="Текст у виносці Знак"/>
    <w:basedOn w:val="a0"/>
    <w:uiPriority w:val="99"/>
    <w:semiHidden/>
    <w:qFormat/>
    <w:rsid w:val="007B1911"/>
    <w:rPr>
      <w:rFonts w:ascii="Segoe UI" w:eastAsia="Calibri" w:hAnsi="Segoe UI" w:cs="Segoe UI"/>
      <w:sz w:val="18"/>
      <w:szCs w:val="18"/>
      <w:lang w:val="ru-RU" w:eastAsia="zh-CN"/>
    </w:rPr>
  </w:style>
  <w:style w:type="character" w:styleId="a5">
    <w:name w:val="annotation reference"/>
    <w:basedOn w:val="a0"/>
    <w:uiPriority w:val="99"/>
    <w:semiHidden/>
    <w:unhideWhenUsed/>
    <w:qFormat/>
    <w:rsid w:val="007B1911"/>
    <w:rPr>
      <w:sz w:val="16"/>
      <w:szCs w:val="16"/>
    </w:rPr>
  </w:style>
  <w:style w:type="character" w:customStyle="1" w:styleId="a6">
    <w:name w:val="Текст примітки Знак"/>
    <w:basedOn w:val="a0"/>
    <w:uiPriority w:val="99"/>
    <w:semiHidden/>
    <w:qFormat/>
    <w:rsid w:val="007B1911"/>
    <w:rPr>
      <w:rFonts w:ascii="Calibri" w:eastAsia="Calibri" w:hAnsi="Calibri" w:cs="Calibri"/>
      <w:lang w:val="ru-RU" w:eastAsia="zh-CN"/>
    </w:rPr>
  </w:style>
  <w:style w:type="character" w:customStyle="1" w:styleId="a7">
    <w:name w:val="Тема примітки Знак"/>
    <w:basedOn w:val="a6"/>
    <w:uiPriority w:val="99"/>
    <w:semiHidden/>
    <w:qFormat/>
    <w:rsid w:val="007B1911"/>
    <w:rPr>
      <w:rFonts w:ascii="Calibri" w:eastAsia="Calibri" w:hAnsi="Calibri" w:cs="Calibri"/>
      <w:b/>
      <w:bCs/>
      <w:lang w:val="ru-RU" w:eastAsia="zh-CN"/>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13">
    <w:name w:val="Указатель1"/>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sz w:val="24"/>
      <w:szCs w:val="24"/>
    </w:rPr>
  </w:style>
  <w:style w:type="paragraph" w:customStyle="1" w:styleId="15">
    <w:name w:val="Указатель1"/>
    <w:basedOn w:val="a"/>
    <w:qFormat/>
    <w:pPr>
      <w:suppressLineNumbers/>
    </w:pPr>
    <w:rPr>
      <w:rFonts w:cs="Mangal"/>
    </w:rPr>
  </w:style>
  <w:style w:type="paragraph" w:customStyle="1" w:styleId="Default">
    <w:name w:val="Default"/>
    <w:qFormat/>
    <w:pPr>
      <w:suppressAutoHyphens/>
    </w:pPr>
    <w:rPr>
      <w:rFonts w:ascii="Tahoma" w:eastAsia="Calibri" w:hAnsi="Tahoma" w:cs="Tahoma"/>
      <w:color w:val="000000"/>
      <w:sz w:val="24"/>
      <w:szCs w:val="24"/>
      <w:lang w:val="ru-RU" w:eastAsia="zh-CN"/>
    </w:rPr>
  </w:style>
  <w:style w:type="paragraph" w:customStyle="1" w:styleId="16">
    <w:name w:val="Абзац списка1"/>
    <w:basedOn w:val="a"/>
    <w:qFormat/>
    <w:pPr>
      <w:ind w:left="720"/>
      <w:contextualSpacing/>
    </w:pPr>
  </w:style>
  <w:style w:type="paragraph" w:customStyle="1" w:styleId="western">
    <w:name w:val="western"/>
    <w:basedOn w:val="a"/>
    <w:qFormat/>
    <w:pPr>
      <w:spacing w:before="280" w:after="119" w:line="240" w:lineRule="auto"/>
    </w:pPr>
    <w:rPr>
      <w:rFonts w:ascii="Times New Roman" w:eastAsia="Times New Roman" w:hAnsi="Times New Roman" w:cs="Times New Roman"/>
      <w:color w:val="000000"/>
      <w:sz w:val="20"/>
      <w:szCs w:val="20"/>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styleId="ae">
    <w:name w:val="Balloon Text"/>
    <w:basedOn w:val="a"/>
    <w:uiPriority w:val="99"/>
    <w:semiHidden/>
    <w:unhideWhenUsed/>
    <w:qFormat/>
    <w:rsid w:val="007B1911"/>
    <w:pPr>
      <w:spacing w:after="0" w:line="240" w:lineRule="auto"/>
    </w:pPr>
    <w:rPr>
      <w:rFonts w:ascii="Segoe UI" w:hAnsi="Segoe UI" w:cs="Segoe UI"/>
      <w:sz w:val="18"/>
      <w:szCs w:val="18"/>
    </w:rPr>
  </w:style>
  <w:style w:type="paragraph" w:styleId="af">
    <w:name w:val="annotation text"/>
    <w:basedOn w:val="a"/>
    <w:uiPriority w:val="99"/>
    <w:semiHidden/>
    <w:unhideWhenUsed/>
    <w:qFormat/>
    <w:rsid w:val="007B1911"/>
    <w:pPr>
      <w:spacing w:line="240" w:lineRule="auto"/>
    </w:pPr>
    <w:rPr>
      <w:sz w:val="20"/>
      <w:szCs w:val="20"/>
    </w:rPr>
  </w:style>
  <w:style w:type="paragraph" w:styleId="af0">
    <w:name w:val="annotation subject"/>
    <w:basedOn w:val="af"/>
    <w:next w:val="af"/>
    <w:uiPriority w:val="99"/>
    <w:semiHidden/>
    <w:unhideWhenUsed/>
    <w:qFormat/>
    <w:rsid w:val="007B1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2858</Words>
  <Characters>16292</Characters>
  <Application>Microsoft Office Word</Application>
  <DocSecurity>0</DocSecurity>
  <Lines>135</Lines>
  <Paragraphs>38</Paragraphs>
  <ScaleCrop>false</ScaleCrop>
  <Company>SPecialiST RePack</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dc:description/>
  <cp:lastModifiedBy>Андрєєв Артем Миколайович</cp:lastModifiedBy>
  <cp:revision>13</cp:revision>
  <cp:lastPrinted>1995-11-21T15:41:00Z</cp:lastPrinted>
  <dcterms:created xsi:type="dcterms:W3CDTF">2020-11-30T12:55:00Z</dcterms:created>
  <dcterms:modified xsi:type="dcterms:W3CDTF">2021-12-16T14:10:00Z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